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Order Legislation</w:t>
      </w:r>
    </w:p>
    <w:p>
      <w:r>
        <w:rPr>
          <w:sz w:val="20"/>
        </w:rPr>
        <w:t>2 September 2025  ·  Lords  ·  Oral Questions</w:t>
      </w:r>
    </w:p>
    <w:p>
      <w:r>
        <w:rPr>
          <w:b/>
        </w:rPr>
        <w:t xml:space="preserve">Policy areas: </w:t>
      </w:r>
      <w:r>
        <w:rPr>
          <w:sz w:val="20"/>
        </w:rPr>
        <w:t>Crime, justice and law, Parliament and constitution, Society and culture</w:t>
      </w:r>
    </w:p>
    <w:p>
      <w:r>
        <w:rPr>
          <w:b/>
        </w:rPr>
        <w:t xml:space="preserve">Topics: </w:t>
      </w:r>
      <w:r>
        <w:rPr>
          <w:sz w:val="20"/>
        </w:rPr>
        <w:t>freedom of expression, protest policing, public order legislation review, right to protest, terrorism act amendment</w:t>
      </w:r>
    </w:p>
    <w:p>
      <w:r>
        <w:rPr>
          <w:b/>
        </w:rPr>
        <w:t xml:space="preserve">Source: </w:t>
      </w:r>
      <w:r>
        <w:rPr>
          <w:sz w:val="20"/>
        </w:rPr>
        <w:t>https://hansard.parliament.uk/Lords/2025-09-02/debates/0B79851F-9CE4-4B30-ACD0-8C9C7D8098EA/PublicOrderLegislation</w:t>
      </w:r>
    </w:p>
    <w:p/>
    <w:p>
      <w:r>
        <w:rPr>
          <w:b/>
          <w:color w:val="1A4A6E"/>
          <w:sz w:val="22"/>
        </w:rPr>
        <w:t>Baroness Chakrabarti</w:t>
      </w:r>
    </w:p>
    <w:p>
      <w:r>
        <w:rPr>
          <w:sz w:val="22"/>
        </w:rPr>
        <w:t>My Lords, post-legislative scrutiny of the Public Order Act 2023 began in May 2025. It will assess how the Act operates in practice. The Police, Crime, Sentencing and Courts Act 2022 will undergo similar post-legislative scrutiny between April 2025 and April 2027.</w:t>
      </w:r>
    </w:p>
    <w:p/>
    <w:p>
      <w:r>
        <w:rPr>
          <w:b/>
          <w:color w:val="1A4A6E"/>
          <w:sz w:val="22"/>
        </w:rPr>
        <w:t>The Minister of State, Home Office (Lab)</w:t>
      </w:r>
    </w:p>
    <w:p>
      <w:r>
        <w:rPr>
          <w:sz w:val="22"/>
        </w:rPr>
        <w:t>I am grateful as always to my noble and learned friend—my almost learned friend—the Minister for that Answer, but the issue is about more than one statute. Indeed, the common law and statute law in this sensitive area has mushroomed under Governments of all persuasions in recent years. Given the summer that we have just had, and given the challenges to both freedom of expression and public order, is it not time that there was an overarching review of all the law in this area to examine not just adequacy and coherence but public and police understanding of this sensitive area of the law?</w:t>
      </w:r>
    </w:p>
    <w:p/>
    <w:p>
      <w:r>
        <w:rPr>
          <w:b/>
          <w:color w:val="1A4A6E"/>
          <w:sz w:val="22"/>
        </w:rPr>
        <w:t>Baroness Chakrabarti</w:t>
      </w:r>
    </w:p>
    <w:p>
      <w:r>
        <w:rPr>
          <w:sz w:val="22"/>
        </w:rPr>
        <w:t>I am grateful to my noble friend. As I have just said, legislation is kept under review at all times. We have legislation coming before this House very shortly in the Crime and Policing Bill that will add other measures to the policing of protests. The policing of protests is most definitely a matter for the police, and the freedom to protest and freedom of expression are extremely important. She raises a sensible suggestion to look at how we can ensure that the police and the public understand where the barriers are. I hope that we can reflect on what has happened at any protest and ensure that the right to protest is central but that the right to do so in a peaceful, orderly way is also central. Those are two basic tenets that would be self-evident and central to any review she suggests.</w:t>
      </w:r>
    </w:p>
    <w:p/>
    <w:p>
      <w:r>
        <w:rPr>
          <w:b/>
          <w:color w:val="1A4A6E"/>
          <w:sz w:val="22"/>
        </w:rPr>
        <w:t>Lord Hanson of Flint</w:t>
      </w:r>
    </w:p>
    <w:p>
      <w:r>
        <w:rPr>
          <w:sz w:val="22"/>
        </w:rPr>
        <w:t>My Lords, I suggest that Sections 12 and 13 of the Terrorism Act 2000 need amendment. To sit in a square and hold a placard is not an obvious act of terrorism. To arrest and prosecute such people is an infringement of the right to free speech and dissent. What needs to be caught are acts of definite terrorism—that is to say, acts which further that crime.</w:t>
      </w:r>
    </w:p>
    <w:p/>
    <w:p>
      <w:r>
        <w:rPr>
          <w:b/>
          <w:color w:val="1A4A6E"/>
          <w:sz w:val="22"/>
        </w:rPr>
        <w:t>Viscount Hailsham</w:t>
      </w:r>
    </w:p>
    <w:p>
      <w:r>
        <w:rPr>
          <w:sz w:val="22"/>
        </w:rPr>
        <w:t>If the noble Viscount is referring to recent actions relating to Palestine Action, which I believe he is, he will remember that the House of Commons voted 385 to 26 only on 23 June and this House voted 144 to 16 only on 3 July to put in place measures to proscribe Palestine Action. One of the reasons for proscription was to ensure that people cannot support that organisation because of advice we were given about the levels of terrorist activity. The police are currently enforcing that legislation for those holding a placard in Parliament Square saying, “I support Palestine Action”. It is important that, in a couple of months, we look at how the legislation has progressed. By that I mean that there will be published statistics on the number of arrests, the number of charges and the number of convictions. I suggest this House awaits that information and remembers the reasons why, at this Dispatch Box and in the House of Commons, Ministers stood up and asked for that proscription order, overwhelmingly supported by both Houses.</w:t>
      </w:r>
    </w:p>
    <w:p/>
    <w:p>
      <w:r>
        <w:rPr>
          <w:b/>
          <w:color w:val="1A4A6E"/>
          <w:sz w:val="22"/>
        </w:rPr>
        <w:t>Lord Hanson of Flint</w:t>
      </w:r>
    </w:p>
    <w:p>
      <w:r>
        <w:rPr>
          <w:sz w:val="22"/>
        </w:rPr>
        <w:t>My Lords, I have listened to the Minister talk about the reviews he intends to have on the legislation, but there is serious concern in the country about the erosion of the right to free speech. That is demonstrated by the hundreds of people who have turned out simply to express their opinion about the situation in Palestine. They do not want to commit acts of violence. They believe that our country has always cherished its right to free speech. So although His Majesty’s Government intend to have reviews, this issue is bringing the law into disrepute because so much police time is being used in processing the hundreds of people who are arrested in situations which are, as the noble Viscount said, questionable. What can the Government do short of two years to ensure that our democratic right to free speech is protected?</w:t>
      </w:r>
    </w:p>
    <w:p/>
    <w:p>
      <w:r>
        <w:rPr>
          <w:b/>
          <w:color w:val="1A4A6E"/>
          <w:sz w:val="22"/>
        </w:rPr>
        <w:t>Baroness O’Loan</w:t>
      </w:r>
    </w:p>
    <w:p>
      <w:r>
        <w:rPr>
          <w:sz w:val="22"/>
        </w:rPr>
        <w:t>I assure the noble Baroness that the rights to free speech, to protest, and to make a view known about Palestine or Israel, or any other issue before the House, are central to the democratic rights that we all have as citizens. This House, with the other House, made a decision to proscribe Palestine Action. That does not mean that people cannot protest about the issue of Palestine or support or condemn Israel—it does not mean any of that. It means that Palestine Action has been deemed, on advice to Ministers, an organisation that goes beyond issues of protest and of criminal damage to organise activities which are potentially in the sphere of terrorist activity. I say to the noble Baroness: protest about Palestine, protest about Israel, protest any way you like—wave a flag, hold a placard—but supporting Palestine Action under the terms of the proscription order in this House and in the House of Commons, overwhelmingly passed, deserves to have action taken. That is why the police are upholding that legislation currently.</w:t>
      </w:r>
    </w:p>
    <w:p/>
    <w:p>
      <w:r>
        <w:rPr>
          <w:b/>
          <w:color w:val="1A4A6E"/>
          <w:sz w:val="22"/>
        </w:rPr>
        <w:t>Lord Hanson of Flint</w:t>
      </w:r>
    </w:p>
    <w:p>
      <w:r>
        <w:rPr>
          <w:sz w:val="22"/>
        </w:rPr>
        <w:t>My Lords, a recent report by Policy Exchange has highlighted the chaotic nature of the application of the law regarding unfair and disproportionate disruption caused by protesters as a result of the Ziegler ruling by the Supreme Court. What steps are His Majesty’s Government taking to reform the law of public protest so that prosecutors do not need to prove that a conviction would not be disproportionate interference in convention rights, and so reconcile the problems caused by the Ziegler ruling?</w:t>
      </w:r>
    </w:p>
    <w:p/>
    <w:p>
      <w:r>
        <w:rPr>
          <w:b/>
          <w:color w:val="1A4A6E"/>
          <w:sz w:val="22"/>
        </w:rPr>
        <w:t>Lord Davies of Gower</w:t>
      </w:r>
    </w:p>
    <w:p>
      <w:r>
        <w:rPr>
          <w:sz w:val="22"/>
        </w:rPr>
        <w:t>The noble Lord has raised an extremely important point. I do not want to answer it directly at the Dispatch Box now; I will need to reflect on the issues he has raised. I hope he will understand that. I will get back to him in writing so that there is clarity on that ruling.</w:t>
      </w:r>
    </w:p>
    <w:p/>
    <w:p>
      <w:r>
        <w:rPr>
          <w:b/>
          <w:color w:val="1A4A6E"/>
          <w:sz w:val="22"/>
        </w:rPr>
        <w:t>Lord Hanson of Flint</w:t>
      </w:r>
    </w:p>
    <w:p>
      <w:r>
        <w:rPr>
          <w:sz w:val="22"/>
        </w:rPr>
        <w:t>My Lords—</w:t>
      </w:r>
    </w:p>
    <w:p/>
    <w:p>
      <w:r>
        <w:rPr>
          <w:b/>
          <w:color w:val="1A4A6E"/>
          <w:sz w:val="22"/>
        </w:rPr>
        <w:t>Baroness Jones of Moulsecoomb</w:t>
      </w:r>
    </w:p>
    <w:p>
      <w:r>
        <w:rPr>
          <w:sz w:val="22"/>
        </w:rPr>
        <w:t>My Lords—</w:t>
      </w:r>
    </w:p>
    <w:p/>
    <w:p>
      <w:r>
        <w:rPr>
          <w:b/>
          <w:color w:val="1A4A6E"/>
          <w:sz w:val="22"/>
        </w:rPr>
        <w:t>Lord Strasburger</w:t>
      </w:r>
    </w:p>
    <w:p>
      <w:r>
        <w:rPr>
          <w:sz w:val="22"/>
        </w:rPr>
        <w:t>My Lords, we will hear from the Liberal Democrat Benches next.</w:t>
      </w:r>
    </w:p>
    <w:p/>
    <w:p>
      <w:r>
        <w:rPr>
          <w:b/>
          <w:color w:val="1A4A6E"/>
          <w:sz w:val="22"/>
        </w:rPr>
        <w:t>Captain of the Honourable Corps of Gentlemen-at-Arms and Chief Whip (Lab Co-op)</w:t>
      </w:r>
    </w:p>
    <w:p>
      <w:r>
        <w:rPr>
          <w:sz w:val="22"/>
        </w:rPr>
        <w:t>My Lords, I point out to the Minister that the large majorities he is so proud of were achieved by bundling together Palestine Action with two obvious and very extreme terrorist organisations. In Israel, many citizens are lawfully protesting against the slaughter and starvation of the people of Gaza. By contrast, here, right outside this building, 522 peaceful protesters—also protesting about Gaza—were arrested under terrorism legislation. This spectacular own goal against our right to protest was the entirely predictable consequence of the Government’s proscription of Palestine Action as terrorists. That was enabled by our far too broad definition of terrorism, which includes damage to property that most people do not consider to be terrorism. When will the Government review and correct this overreach in the Terrorism Act 2000?</w:t>
      </w:r>
    </w:p>
    <w:p/>
    <w:p>
      <w:r>
        <w:rPr>
          <w:b/>
          <w:color w:val="1A4A6E"/>
          <w:sz w:val="22"/>
        </w:rPr>
        <w:t>Lord Strasburger</w:t>
      </w:r>
    </w:p>
    <w:p>
      <w:r>
        <w:rPr>
          <w:sz w:val="22"/>
        </w:rPr>
        <w:t>The noble Lord will remember that, although the three organisations were put together, Palestine Action has committed three attacks that met the threshold set out in the very Act he mentions: at Thales in Glasgow in 2022, at Instro Precision in Kent and at Elbit Systems in Bristol—not to mention the recent situation at the airbase, on which I cannot go into detail because of ongoing legal proceedings. Palestine Action is encouraging terrorist action and working online to do so. There is a definitive difference in supporting a Palestinian state, which I happen to do, issues around the situation in Gaza, which raise real concerns for the Government and beyond, and criticism of Israel, which many Members of this House have made. These are all reasonable. What is not reasonable, under the orders of this Act, is to support the measures that Palestine Action has taken and is taking.</w:t>
      </w:r>
    </w:p>
    <w:p/>
    <w:p>
      <w:r>
        <w:rPr>
          <w:b/>
          <w:color w:val="1A4A6E"/>
          <w:sz w:val="22"/>
        </w:rPr>
        <w:t>Lord Hanson of Flint</w:t>
      </w:r>
    </w:p>
    <w:p>
      <w:r>
        <w:rPr>
          <w:sz w:val="22"/>
        </w:rPr>
        <w:t>My Lords, if it was illegal noisily to call Israel’s actions a genocide then I suggest that many Members of this House and the other place would currently be serving time. It is not, as the Minister has said. He knows that I have supported the proscription of Palestine Action, but will he meet me to discuss my recommendation in the recent review that he is considering that much of this controversy could have been lessened if the Government and the police had had a mechanism to restrict the activities of this organisation, which was wilfully breaking the law and boasting about doing so, before it reached the terrorism threshold?</w:t>
      </w:r>
    </w:p>
    <w:p/>
    <w:p>
      <w:r>
        <w:rPr>
          <w:b/>
          <w:color w:val="1A4A6E"/>
          <w:sz w:val="22"/>
        </w:rPr>
        <w:t>Lord Walney</w:t>
      </w:r>
    </w:p>
    <w:p>
      <w:r>
        <w:rPr>
          <w:sz w:val="22"/>
        </w:rPr>
        <w:t>I will happily meet the noble Lord to discuss his report and recommendations. What Palestine Action is doing now has reached a threshold. Its actions before were criminal; they could have resulted in, and are resulting in, prosecutions, which may or may not result in convictions downstream. The assessment that we have had to make, based on evidence that we have been given, is that Palestine Action has crossed that threshold. He makes a valuable point about how we examine the development of organisations, but the key issue for this House is that there is a threshold in the 2000 Act, which he mentioned, and the neutral assessment is that Palestine Action has crossed it. Therefore, as a Government, we have to take cognisance of that. If we did not and it took actions that caused significant damage or harm to individuals and/or property, which is very possible, we would be culpable for allowing that to happen. I will certainly meet the noble Lord and reflect on his points in due course.</w:t>
      </w:r>
    </w:p>
    <w:p/>
    <w:p>
      <w:r>
        <w:rPr>
          <w:b/>
          <w:color w:val="1A4A6E"/>
          <w:sz w:val="22"/>
        </w:rPr>
        <w:t>Lord Hanson of Flint</w:t>
      </w:r>
    </w:p>
    <w:p>
      <w:r>
        <w:rPr>
          <w:sz w:val="22"/>
        </w:rPr>
        <w:t>I will happily meet the noble Lord to discuss his report and recommendations. What Palestine Action is doing now has reached a threshold. Its actions before were criminal; they could have resulted in, and are resulting in, prosecutions, which may or may not result in convictions downstream. The assessment that we have had to make, based on evidence that we have been given, is that Palestine Action has crossed that threshold. He makes a valuable point about how we examine the development of organisations, but the key issue for this House is that there is a threshold in the 2000 Act, which he mentioned, and the neutral assessment is that Palestine Action has crossed it. Therefore, as a Government, we have to take cognisance of that. If we did not and it took actions that caused significant damage or harm to individuals and/or property, which is very possible, we would be culpable for allowing that to happen. I will certainly meet the noble Lord and reflect on his points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