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Victims and Courts Bill</w:t>
      </w:r>
    </w:p>
    <w:p>
      <w:r>
        <w:rPr>
          <w:sz w:val="20"/>
        </w:rPr>
        <w:t>2 March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</w:t>
      </w:r>
    </w:p>
    <w:p>
      <w:r>
        <w:rPr>
          <w:b/>
        </w:rPr>
        <w:t xml:space="preserve">Topics: </w:t>
      </w:r>
      <w:r>
        <w:rPr>
          <w:sz w:val="20"/>
        </w:rPr>
        <w:t>bill marshalling, report stage debate, victims and courts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https://hansard.parliament.uk/Lords/2026-03-02/debates/CA292B19-170F-433F-9E56-30B92994C641/VictimsAndCourtsBill</w:t>
      </w:r>
    </w:p>
    <w:p/>
    <w:p>
      <w:r>
        <w:rPr>
          <w:b/>
          <w:color w:val="1A4A6E"/>
          <w:sz w:val="22"/>
        </w:rPr>
        <w:t>Baroness Levitt</w:t>
      </w:r>
    </w:p>
    <w:p>
      <w:r>
        <w:rPr>
          <w:sz w:val="22"/>
        </w:rPr>
        <w:t>That the amendments for the Report stage be marshalled and considered in the following order: Clauses 1 to 3, Schedule 1, Clauses 4 to 7, Schedule 2, Clauses 8 to 18,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