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Pneumoconiosis etc. (Workers’ Compensation) (Payment of Claims) (Amendment) Regulations 2026</w:t>
      </w:r>
    </w:p>
    <w:p>
      <w:r>
        <w:rPr>
          <w:sz w:val="20"/>
        </w:rPr>
        <w:t>2 March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Employment and labour market, Finance and taxation, Health and social care</w:t>
      </w:r>
    </w:p>
    <w:p>
      <w:r>
        <w:rPr>
          <w:b/>
        </w:rPr>
        <w:t xml:space="preserve">Topics: </w:t>
      </w:r>
      <w:r>
        <w:rPr>
          <w:sz w:val="20"/>
        </w:rPr>
        <w:t>disease payments scheme, pneumoconiosis compensation claims, workers' compensation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https://hansard.parliament.uk/Lords/2026-03-02/debates/C8271F38-1A72-4660-A707-84B887F85298/PneumoconiosisEtcWorkersCompensationPaymentOfClaimsAmendmentRegulations2026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Grand Committee do consider the Pneumoconiosis etc. (Workers’ Compensation) (Payment of Claims) (Amendment) Regulations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