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Employment Rights Act 1996 (Application of Section 80B to Parental Order Cases) (Amendment) Regulations 2026</w:t>
      </w:r>
    </w:p>
    <w:p>
      <w:r>
        <w:rPr>
          <w:sz w:val="20"/>
        </w:rPr>
        <w:t>2 March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Children and families, Employment and labour market,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employment rights, parental order cases, section 80b application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https://hansard.parliament.uk/Lords/2026-03-02/debates/DE5B0CDD-82D6-4F07-8F0E-74AF3E28DFEE/EmploymentRightsAct1996ApplicationOfSection80bToParentalOrderCasesAmendmentRegulations2026</w:t>
      </w:r>
    </w:p>
    <w:p/>
    <w:p>
      <w:r>
        <w:rPr>
          <w:b/>
          <w:color w:val="1A4A6E"/>
          <w:sz w:val="22"/>
        </w:rPr>
        <w:t>Baroness Lloyd of Effra</w:t>
      </w:r>
    </w:p>
    <w:p>
      <w:r>
        <w:rPr>
          <w:sz w:val="22"/>
        </w:rPr>
        <w:t>That the Grand Committee do consider the Employment Rights Act 1996 (Application of Section 80B to Parental Order Cases) (Amendment) Regulations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