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2 March 2026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Government and public administration, Parliament and constitution</w:t>
      </w:r>
    </w:p>
    <w:p>
      <w:r>
        <w:rPr>
          <w:b/>
        </w:rPr>
        <w:t xml:space="preserve">Topics: </w:t>
      </w:r>
      <w:r>
        <w:rPr>
          <w:sz w:val="20"/>
        </w:rPr>
        <w:t>arrangement of business, committee stage debate, parliamentary procedure, statutory instruments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https://hansard.parliament.uk/Lords/2026-03-02/debates/02FC14C6-36AF-47D8-80ED-C6B80C4EE462/ArrangementOfBusiness</w:t>
      </w:r>
    </w:p>
    <w:p/>
    <w:p>
      <w:r>
        <w:rPr>
          <w:b/>
          <w:color w:val="1A4A6E"/>
          <w:sz w:val="22"/>
        </w:rPr>
        <w:t>The Deputy Chairman of Committees (Lab)</w:t>
      </w:r>
    </w:p>
    <w:p>
      <w:r>
        <w:rPr>
          <w:sz w:val="22"/>
        </w:rPr>
        <w:t>My Lords, welcome to a debate on a melange of statutory instruments. If there is a Division in the Chamber, the Committee will adjourn when the Division Bells are rung and resume after 10 minutes. Usually this is a standard thing to say, but I can advise the Committee that on this occasion we are expecting a vote at the end of Amendment 209, which is being debated now.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