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rPr>
          <w:sz w:val="32"/>
        </w:rPr>
        <w:t>Conduct of Undercover Policing and Surveillance Operatives Bill [HL]</w:t>
      </w:r>
    </w:p>
    <w:p>
      <w:r>
        <w:rPr>
          <w:sz w:val="20"/>
        </w:rPr>
        <w:t>2 June 2026  ·  Lords  ·  Debate</w:t>
      </w:r>
    </w:p>
    <w:p>
      <w:r>
        <w:rPr>
          <w:b/>
        </w:rPr>
        <w:t xml:space="preserve">Source: </w:t>
      </w:r>
      <w:r>
        <w:rPr>
          <w:sz w:val="20"/>
        </w:rPr>
        <w:t>https://hansard.parliament.uk/Lords/2026-06-02/debates/2643DDE6-78CD-4919-8A37-34367BBF2E24/ConductOfUndercoverPolicingAndSurveillanceOperativesBillHl</w:t>
      </w:r>
    </w:p>
    <w:p/>
    <w:p>
      <w:r>
        <w:rPr>
          <w:sz w:val="18"/>
        </w:rPr>
        <w:t>Source: Hansard (Parliament Open Parliament Licence v3.0). Exported from Westminster Brief — westminsterbrief.co.uk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