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Border Security, Asylum and Immigration Bill</w:t>
      </w:r>
    </w:p>
    <w:p>
      <w:r>
        <w:rPr>
          <w:sz w:val="20"/>
        </w:rPr>
        <w:t>2 June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Immigration and borders</w:t>
      </w:r>
    </w:p>
    <w:p>
      <w:r>
        <w:rPr>
          <w:b/>
        </w:rPr>
        <w:t xml:space="preserve">Topics: </w:t>
      </w:r>
      <w:r>
        <w:rPr>
          <w:sz w:val="20"/>
        </w:rPr>
        <w:t>asylum bill, border security bill, committee of the whole house, immigration bill, order of consideration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https://hansard.parliament.uk/Lords/2025-06-02/debates/B87F3257-0884-4E34-BC87-B6B67A544378/BorderSecurityAsylumAndImmigrationBill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Bill be committed to a Committee of the Whole House, and that it be an instruction to the Committee that they consider the bill in the following order: Clauses 1 to 40, Schedule 1, Clauses 41 to 53, Schedule 2, Clauses 54 to 63 Title.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