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Criminal Justice Act 2003 (Suitability for Fixed Term Recall) Order 2025</w:t>
      </w:r>
    </w:p>
    <w:p>
      <w:r>
        <w:rPr>
          <w:sz w:val="20"/>
        </w:rPr>
        <w:t>2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criminal justice act, fixed term recall, parole eligibility, secondary legislation scrutiny,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https://hansard.parliament.uk/Lords/2025-07-02/debates/BD318C24-2249-4503-985A-BE7188E44A1C/CriminalJusticeAct2003SuitabilityForFixedTermRecallOrder2025</w:t>
      </w:r>
    </w:p>
    <w:p/>
    <w:p>
      <w:r>
        <w:rPr>
          <w:b/>
          <w:color w:val="1A4A6E"/>
          <w:sz w:val="22"/>
        </w:rPr>
        <w:t>Lord Timpson</w:t>
      </w:r>
    </w:p>
    <w:p>
      <w:r>
        <w:rPr>
          <w:sz w:val="22"/>
        </w:rPr>
        <w:t>That the draft Order laid before the House on 9 June be approved. Relevant document: 29th Report from the Secondary Legislation Scrutiny Committee (special attention drawn to the instrument). Considered in Grand Committee on 1 July.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