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Sustainable Aviation Fuel Bill</w:t>
      </w:r>
    </w:p>
    <w:p>
      <w:r>
        <w:rPr>
          <w:sz w:val="20"/>
        </w:rPr>
        <w:t>2 February 2026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Economy, Environment, Transport</w:t>
      </w:r>
    </w:p>
    <w:p>
      <w:r>
        <w:rPr>
          <w:b/>
        </w:rPr>
        <w:t xml:space="preserve">Topics: </w:t>
      </w:r>
      <w:r>
        <w:rPr>
          <w:sz w:val="20"/>
        </w:rPr>
        <w:t>aviation emissions, carbon reduction targets, renewable energy sources, sustainable aviation fuel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https://hansard.parliament.uk/Lords/2026-02-02/debates/5F5F3D36-0F23-4E89-83A6-A76721B91058/SustainableAviationFuelBill</w:t>
      </w:r>
    </w:p>
    <w:p/>
    <w:p>
      <w:r>
        <w:rPr>
          <w:b/>
          <w:color w:val="1A4A6E"/>
          <w:sz w:val="22"/>
        </w:rPr>
        <w:t>Lord Kennedy of Southwark</w:t>
      </w:r>
    </w:p>
    <w:p>
      <w:r>
        <w:rPr>
          <w:sz w:val="22"/>
        </w:rPr>
        <w:t>That the amendments for the Report stage be marshalled and considered in the following order: Clauses 1 to 11, Schedule, Clauses 12 to 20, Title.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