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Financial Services and Markets Act 2000 (Cryptoassets) Regulations 2025</w:t>
      </w:r>
    </w:p>
    <w:p>
      <w:r>
        <w:rPr>
          <w:sz w:val="20"/>
        </w:rPr>
        <w:t>2 February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Economy, Finance and taxation</w:t>
      </w:r>
    </w:p>
    <w:p>
      <w:r>
        <w:rPr>
          <w:b/>
        </w:rPr>
        <w:t xml:space="preserve">Topics: </w:t>
      </w:r>
      <w:r>
        <w:rPr>
          <w:sz w:val="20"/>
        </w:rPr>
        <w:t>cryptoasset regulation, draft regulations approval, financial services markets act, financial services regulation, secondary legislation scrutiny, statutory instrument approval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https://hansard.parliament.uk/Lords/2026-02-02/debates/024AB2B1-9C12-427E-B908-D90A594F69F6/FinancialServicesAndMarketsAct2000CryptoassetsRegulations2025</w:t>
      </w:r>
    </w:p>
    <w:p/>
    <w:p>
      <w:r>
        <w:rPr>
          <w:b/>
          <w:color w:val="1A4A6E"/>
          <w:sz w:val="22"/>
        </w:rPr>
        <w:t>Baroness Wheeler</w:t>
      </w:r>
    </w:p>
    <w:p>
      <w:r>
        <w:rPr>
          <w:sz w:val="22"/>
        </w:rPr>
        <w:t>That the draft Regulations laid before the House on 15 December 2025 be approved. Relevant document: 47th Report from the Secondary Legislation Scrutiny Committee. Considered in Grand Committee on 28 January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