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19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parliamentary procedure, statutory instruments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https://hansard.parliament.uk/Lords/2025-11-19/debates/22E5069D-2F3F-496A-B688-0FF6F530CAA5/ArrangementOfBusiness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Good afternoon and welcome to three debates on three statutory instruments. I welcome the Minister, the noble Baroness, Lady Lloyd, to her place for what I believe is her first appearance in Grand Committee. If there is a Division in the Chamber, we will adjourn the Committee for 10 minutes, but I am glad to say that is highly unlikely. We can therefore proceed accordingly.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