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Fair Dealing Obligations (Pigs) Regulations 2025</w:t>
      </w:r>
    </w:p>
    <w:p>
      <w:r>
        <w:rPr>
          <w:sz w:val="20"/>
        </w:rPr>
        <w:t>19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Welfare and benefits</w:t>
      </w:r>
    </w:p>
    <w:p>
      <w:r>
        <w:rPr>
          <w:b/>
        </w:rPr>
        <w:t xml:space="preserve">Topics: </w:t>
      </w:r>
      <w:r>
        <w:rPr>
          <w:sz w:val="20"/>
        </w:rPr>
        <w:t>animal production standards, animal welfare standards, environmental protection, farming regulations, food production, pig farming regulations, pig welfare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https://hansard.parliament.uk/Lords/2025-05-19/debates/B2DE1C4D-E537-481C-91D5-3F0F2FD70F6F/FairDealingObligationsPigsRegulations2025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13 March be approved. Relevant document: 21st Report from the Secondary Legislation Scrutiny Committee. Considered in Grand Committee on 12 May.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