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Fair Dealing Obligations (Pigs) Regulations 2025</w:t>
      </w:r>
    </w:p>
    <w:p>
      <w:r>
        <w:rPr>
          <w:sz w:val="20"/>
        </w:rPr>
        <w:t>19 May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Welfare and benefits</w:t>
      </w:r>
    </w:p>
    <w:p>
      <w:r>
        <w:rPr>
          <w:b/>
        </w:rPr>
        <w:t xml:space="preserve">Topics: </w:t>
      </w:r>
      <w:r>
        <w:rPr>
          <w:sz w:val="20"/>
        </w:rPr>
        <w:t>animal production standards, animal welfare standards, environmental protection, farming regulations, food production, pig farming regulations, pig welfare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https://hansard.parliament.uk/Lords/2025-05-19/debates/B2DE1C4D-E537-481C-91D5-3F0F2FD70F6F/FairDealingObligationsPigsRegulations2025</w:t>
      </w:r>
    </w:p>
    <w:p/>
    <w:p>
      <w:r>
        <w:rPr>
          <w:b/>
          <w:color w:val="1A4A6E"/>
          <w:sz w:val="22"/>
        </w:rPr>
        <w:t>Baroness Hayman of Ullock</w:t>
      </w:r>
    </w:p>
    <w:p>
      <w:r>
        <w:rPr>
          <w:sz w:val="22"/>
        </w:rPr>
        <w:t>That the draft Regulations laid before the House on 13 March be approved. Relevant document: 21st Report from the Secondary Legislation Scrutiny Committee. Considered in Grand Committee on 12 May.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