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Tertiary Education and Research (Wales) Act 2022 (Consequential Amendments) Order 2026</w:t>
      </w:r>
    </w:p>
    <w:p>
      <w:r>
        <w:rPr>
          <w:sz w:val="20"/>
        </w:rPr>
        <w:t>19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consequential amendments, research funding, tertiary education, wales act 2022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https://hansard.parliament.uk/Lords/2026-03-19/debates/26A42307-0D34-4770-8C4E-E982A4BDAE48/TertiaryEducationAndResearchWalesAct2022ConsequentialAmendmentsOrder2026</w:t>
      </w:r>
    </w:p>
    <w:p/>
    <w:p>
      <w:r>
        <w:rPr>
          <w:b/>
          <w:color w:val="1A4A6E"/>
          <w:sz w:val="22"/>
        </w:rPr>
        <w:t>Lord Katz</w:t>
      </w:r>
    </w:p>
    <w:p>
      <w:r>
        <w:rPr>
          <w:sz w:val="22"/>
        </w:rPr>
        <w:t>That the draft Order laid before the House on 2 February be approved. Considered in Grand Committee on 17 March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