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Serious Fraud Office</w:t>
      </w:r>
    </w:p>
    <w:p>
      <w:r>
        <w:rPr>
          <w:sz w:val="20"/>
        </w:rPr>
        <w:t>19 March 2026  ·  Commons  ·  Oral Questions</w:t>
      </w:r>
    </w:p>
    <w:p>
      <w:r>
        <w:rPr>
          <w:b/>
        </w:rPr>
        <w:t xml:space="preserve">Policy areas: </w:t>
      </w:r>
      <w:r>
        <w:rPr>
          <w:sz w:val="20"/>
        </w:rPr>
        <w:t>Crime, justice and law, Economy, Government and public administration</w:t>
      </w:r>
    </w:p>
    <w:p>
      <w:r>
        <w:rPr>
          <w:b/>
        </w:rPr>
        <w:t xml:space="preserve">Topics: </w:t>
      </w:r>
      <w:r>
        <w:rPr>
          <w:sz w:val="20"/>
        </w:rPr>
        <w:t>anti-corruption strategy, deferred prosecution agreements, economic crime, serious fraud office effectiveness, whistleblower protection</w:t>
      </w:r>
    </w:p>
    <w:p>
      <w:r>
        <w:rPr>
          <w:b/>
        </w:rPr>
        <w:t xml:space="preserve">Source: </w:t>
      </w:r>
      <w:r>
        <w:rPr>
          <w:sz w:val="20"/>
        </w:rPr>
        <w:t>https://hansard.parliament.uk/Commons/2026-03-19/debates/021CA29A-691A-4C7D-9E93-1547CF27E881/SeriousFraudOffice</w:t>
      </w:r>
    </w:p>
    <w:p/>
    <w:p>
      <w:r>
        <w:rPr>
          <w:b/>
          <w:color w:val="1A4A6E"/>
          <w:sz w:val="22"/>
        </w:rPr>
        <w:t>Sarah Coombes (Lab)</w:t>
      </w:r>
    </w:p>
    <w:p>
      <w:r>
        <w:rPr>
          <w:sz w:val="22"/>
        </w:rPr>
        <w:t>1. What assessment she has made of the effectiveness of the Serious Fraud Office.</w:t>
      </w:r>
    </w:p>
    <w:p/>
    <w:p>
      <w:r>
        <w:rPr>
          <w:b/>
          <w:color w:val="1A4A6E"/>
          <w:sz w:val="22"/>
        </w:rPr>
        <w:t>Ellie Reeves (The Solicitor General)</w:t>
      </w:r>
    </w:p>
    <w:p>
      <w:r>
        <w:rPr>
          <w:sz w:val="22"/>
        </w:rPr>
        <w:t>I would like to pay tribute to Nick Ephgrave for his dedication, professionalism and tenacity during his tenure as director of the Serious Fraud Office. Over the past five years, the SFO has secured more than half a billion pounds through deferred prosecution agreements, sentencing outcomes and proceeds of crime orders, including recently securing guilty pleas from three former directors, who defrauded over 3,000 UK investors in a £70 million green investment fraud.</w:t>
      </w:r>
    </w:p>
    <w:p/>
    <w:p>
      <w:r>
        <w:rPr>
          <w:b/>
          <w:color w:val="1A4A6E"/>
          <w:sz w:val="22"/>
        </w:rPr>
        <w:t>Sarah Coombes</w:t>
      </w:r>
    </w:p>
    <w:p>
      <w:r>
        <w:rPr>
          <w:sz w:val="22"/>
        </w:rPr>
        <w:t>Scams are devastating for the victims in my constituency, but serious fraud is insidious and is undermining the UK economy. Given the Serious Fraud Office recently found that just 10% of fraud referrals are coming from whistleblowers, what more are the Government doing to empower whistleblowers to come forward and to protect them when they do?</w:t>
      </w:r>
    </w:p>
    <w:p/>
    <w:p>
      <w:r>
        <w:rPr>
          <w:b/>
          <w:color w:val="1A4A6E"/>
          <w:sz w:val="22"/>
        </w:rPr>
        <w:t>The Solicitor General</w:t>
      </w:r>
    </w:p>
    <w:p>
      <w:r>
        <w:rPr>
          <w:sz w:val="22"/>
        </w:rPr>
        <w:t>I recognise the vital role that whistleblowers play in uncovering serious economic crime, and the need to ensure that they are properly protected and supported when they come forward. Through the recently launched UK anti-corruption strategy, the Government have committed to exploring opportunities to reform the UK whistleblowing framework, including through potential financial incentives. I will continue to work across Government to see how we can drive this work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