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Renewables Obligation (Amendment) Order 2026</w:t>
      </w:r>
    </w:p>
    <w:p>
      <w:r>
        <w:rPr>
          <w:sz w:val="20"/>
        </w:rPr>
        <w:t>19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Energy</w:t>
      </w:r>
    </w:p>
    <w:p>
      <w:r>
        <w:rPr>
          <w:b/>
        </w:rPr>
        <w:t xml:space="preserve">Topics: </w:t>
      </w:r>
      <w:r>
        <w:rPr>
          <w:sz w:val="20"/>
        </w:rPr>
        <w:t>electricity supplier payments, energy regulations, renewables obligation order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https://hansard.parliament.uk/Lords/2026-03-19/debates/3A0B562F-453B-42A9-B139-8768193A7780/RenewablesObligationAmendmentOrder2026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Order and Regulations laid before the House on 2 February be approved. Relevant document: 52nd Report from the Secondary Legislation Scrutiny Committee . Considered in Grand Committee on 17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