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Renewables Obligation (Amendment) Order 2026</w:t>
      </w:r>
    </w:p>
    <w:p>
      <w:r>
        <w:rPr>
          <w:sz w:val="20"/>
        </w:rPr>
        <w:t>19 March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Economy, Energy</w:t>
      </w:r>
    </w:p>
    <w:p>
      <w:r>
        <w:rPr>
          <w:b/>
        </w:rPr>
        <w:t xml:space="preserve">Topics: </w:t>
      </w:r>
      <w:r>
        <w:rPr>
          <w:sz w:val="20"/>
        </w:rPr>
        <w:t>electricity supplier payments, energy regulations, renewables obligation order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https://hansard.parliament.uk/Lords/2026-03-19/debates/3A0B562F-453B-42A9-B139-8768193A7780/RenewablesObligationAmendmentOrder2026</w:t>
      </w:r>
    </w:p>
    <w:p/>
    <w:p>
      <w:r>
        <w:rPr>
          <w:b/>
          <w:color w:val="1A4A6E"/>
          <w:sz w:val="22"/>
        </w:rPr>
        <w:t>Lord Whitehead</w:t>
      </w:r>
    </w:p>
    <w:p>
      <w:r>
        <w:rPr>
          <w:sz w:val="22"/>
        </w:rPr>
        <w:t>That the draft Order and Regulations laid before the House on 2 February be approved. Relevant document: 52nd Report from the Secondary Legislation Scrutiny Committee . Considered in Grand Committee on 17 March.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