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Royal Assent</w:t>
      </w:r>
    </w:p>
    <w:p>
      <w:r>
        <w:rPr>
          <w:sz w:val="20"/>
        </w:rPr>
        <w:t>19 June 2025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https://hansard.parliament.uk/Commons/2025-06-19/debates/9C629BBF-7B8F-4625-A2E5-1963C2E6EFFF/RoyalAssent</w:t>
      </w:r>
    </w:p>
    <w:p/>
    <w:p>
      <w:r>
        <w:rPr>
          <w:b/>
          <w:color w:val="1A4A6E"/>
          <w:sz w:val="22"/>
        </w:rPr>
        <w:t>Madam Deputy Speaker</w:t>
      </w:r>
    </w:p>
    <w:p>
      <w:r>
        <w:rPr>
          <w:sz w:val="22"/>
        </w:rPr>
        <w:t>I have to notify the House, in accordance with the Royal Assent Act 1967, that His Majesty has signified his Royal Assent to the following Acts and Measures:</w:t>
      </w:r>
    </w:p>
    <w:p>
      <w:r>
        <w:rPr>
          <w:sz w:val="22"/>
        </w:rPr>
        <w:t>Sentencing Guidelines (Pre-sentence Reports) Act 2025</w:t>
      </w:r>
    </w:p>
    <w:p>
      <w:r>
        <w:rPr>
          <w:sz w:val="22"/>
        </w:rPr>
        <w:t>Data (Use and Access) Act 2025.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