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Hovercraft (Application of Enactments) (Amendment) Order 2025</w:t>
      </w:r>
    </w:p>
    <w:p>
      <w:r>
        <w:rPr>
          <w:sz w:val="20"/>
        </w:rPr>
        <w:t>18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Transport</w:t>
      </w:r>
    </w:p>
    <w:p>
      <w:r>
        <w:rPr>
          <w:b/>
        </w:rPr>
        <w:t xml:space="preserve">Topics: </w:t>
      </w:r>
      <w:r>
        <w:rPr>
          <w:sz w:val="20"/>
        </w:rPr>
        <w:t>hovercraft regulations, transport law amendments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https://hansard.parliament.uk/Lords/2025-09-18/debates/09691DFE-7F94-42F9-B9CC-5D8E37D42C2F/HovercraftApplicationOfEnactmentsAmendmentOrder2025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Order laid before the House on 1 July be approved.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