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Global Irregular Migration and Trafficking in Persons Sanctions Regulations 2025</w:t>
      </w:r>
    </w:p>
    <w:p>
      <w:r>
        <w:rPr>
          <w:sz w:val="20"/>
        </w:rPr>
        <w:t>18 September 2025  ·  Lords  ·  Statutory Instrument</w:t>
      </w:r>
    </w:p>
    <w:p>
      <w:r>
        <w:rPr>
          <w:b/>
        </w:rPr>
        <w:t xml:space="preserve">Policy areas: </w:t>
      </w:r>
      <w:r>
        <w:rPr>
          <w:sz w:val="20"/>
        </w:rPr>
        <w:t>Crime, justice and law, Foreign affairs and diplomacy, Immigration and borders, Trade</w:t>
      </w:r>
    </w:p>
    <w:p>
      <w:r>
        <w:rPr>
          <w:b/>
        </w:rPr>
        <w:t xml:space="preserve">Topics: </w:t>
      </w:r>
      <w:r>
        <w:rPr>
          <w:sz w:val="20"/>
        </w:rPr>
        <w:t>draft regulations, global sanctions, irregular migration, irregular migration sanctions, sanctions regulations, trafficking in persons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https://hansard.parliament.uk/Lords/2025-09-18/debates/DF5D3A2F-7258-486A-BE2A-834FC80D20D9/GlobalIrregularMigrationAndTraffickingInPersonsSanctionsRegulations2025</w:t>
      </w:r>
    </w:p>
    <w:p/>
    <w:p>
      <w:r>
        <w:rPr>
          <w:b/>
          <w:color w:val="1A4A6E"/>
          <w:sz w:val="22"/>
        </w:rPr>
        <w:t>Lord Lemos</w:t>
      </w:r>
    </w:p>
    <w:p>
      <w:r>
        <w:rPr>
          <w:sz w:val="22"/>
        </w:rPr>
        <w:t>That the draft Regulations laid before the House on 22 July be approved. Relevant document: 34th Report from the Secondary Legislation Scrutiny Committee (special attention drawn to the instrument).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