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Reforms: Impact on Disabled People</w:t>
      </w:r>
    </w:p>
    <w:p>
      <w:r>
        <w:rPr>
          <w:sz w:val="20"/>
        </w:rPr>
        <w:t>18 June 2025  ·  Commons  ·  Oral Questions</w:t>
      </w:r>
    </w:p>
    <w:p>
      <w:r>
        <w:rPr>
          <w:b/>
        </w:rPr>
        <w:t xml:space="preserve">Policy areas: </w:t>
      </w:r>
      <w:r>
        <w:rPr>
          <w:sz w:val="20"/>
        </w:rPr>
        <w:t>Employment and labour market, Health and social care, Welfare and benefits</w:t>
      </w:r>
    </w:p>
    <w:p>
      <w:r>
        <w:rPr>
          <w:b/>
        </w:rPr>
        <w:t xml:space="preserve">Topics: </w:t>
      </w:r>
      <w:r>
        <w:rPr>
          <w:sz w:val="20"/>
        </w:rPr>
        <w:t>disabled people, financial inequalities, limited capability for work, personal independence payment, welfare reforms</w:t>
      </w:r>
    </w:p>
    <w:p>
      <w:r>
        <w:rPr>
          <w:b/>
        </w:rPr>
        <w:t xml:space="preserve">Source: </w:t>
      </w:r>
      <w:r>
        <w:rPr>
          <w:sz w:val="20"/>
        </w:rPr>
        <w:t>https://hansard.parliament.uk/Commons/2025-06-18/debates/3F44517A-C270-44BC-999B-B8C535277EA0/WelfareReformsImpactOnDisabledPeople</w:t>
      </w:r>
    </w:p>
    <w:p/>
    <w:p>
      <w:r>
        <w:rPr>
          <w:b/>
          <w:color w:val="1A4A6E"/>
          <w:sz w:val="22"/>
        </w:rPr>
        <w:t>Manuela Perteghella (LD)</w:t>
      </w:r>
    </w:p>
    <w:p>
      <w:r>
        <w:rPr>
          <w:sz w:val="22"/>
        </w:rPr>
        <w:t>5. What assessment she has made of the potential impact of the Government’s proposed welfare reforms on financial inequalities experienced by disabled people.</w:t>
      </w:r>
    </w:p>
    <w:p/>
    <w:p>
      <w:r>
        <w:rPr>
          <w:b/>
          <w:color w:val="1A4A6E"/>
          <w:sz w:val="22"/>
        </w:rPr>
        <w:t>Sir Stephen Timms (The Minister for Social Security and Disability)</w:t>
      </w:r>
    </w:p>
    <w:p>
      <w:r>
        <w:rPr>
          <w:sz w:val="22"/>
        </w:rPr>
        <w:t>The hon. Member is right to raise this issue; the current system does track too many people in financial inequality. We want disabled people to have chances in work, which others have always taken for granted. We will invest an additional £1 billion a year by the end of the decade in work, health and skills support.</w:t>
      </w:r>
    </w:p>
    <w:p/>
    <w:p>
      <w:r>
        <w:rPr>
          <w:b/>
          <w:color w:val="1A4A6E"/>
          <w:sz w:val="22"/>
        </w:rPr>
        <w:t>Manuela Perteghella</w:t>
      </w:r>
    </w:p>
    <w:p>
      <w:r>
        <w:rPr>
          <w:sz w:val="22"/>
        </w:rPr>
        <w:t>I have spoken to several disabled constituents who are deeply fearful about the proposed cut to the limited capability for work and work-related activity element of universal credit. Research by Sense shows that one in four disabled people with complex needs could be pushed into debt if the changes go ahead. Will the Minister and his colleagues in the Department for Work and Pensions review this damaging proposal?</w:t>
      </w:r>
    </w:p>
    <w:p/>
    <w:p>
      <w:r>
        <w:rPr>
          <w:b/>
          <w:color w:val="1A4A6E"/>
          <w:sz w:val="22"/>
        </w:rPr>
        <w:t>Sir Stephen Timms</w:t>
      </w:r>
    </w:p>
    <w:p>
      <w:r>
        <w:rPr>
          <w:sz w:val="22"/>
        </w:rPr>
        <w:t>At the moment, there are 200,000 people out of work on health and disability grounds who would love to be in a job, and who say they could be in a job today if they had the support to make that possible for them. We are determined to provide them with that support.</w:t>
      </w:r>
    </w:p>
    <w:p/>
    <w:p>
      <w:r>
        <w:rPr>
          <w:b/>
          <w:color w:val="1A4A6E"/>
          <w:sz w:val="22"/>
        </w:rPr>
        <w:t>Anna Dixon (Lab)</w:t>
      </w:r>
    </w:p>
    <w:p>
      <w:r>
        <w:rPr>
          <w:sz w:val="22"/>
        </w:rPr>
        <w:t>As the Minister knows, the personal independence payment is a passport benefit for carer’s allowance. The Government’s impact assessment suggests that approximately 150,000 family carers will lose out due to the proposed changes to the eligibility criteria for PIP. What further analysis have the Government done of the financial impacts of welfare reform on family carers?</w:t>
      </w:r>
    </w:p>
    <w:p/>
    <w:p>
      <w:r>
        <w:rPr>
          <w:b/>
          <w:color w:val="1A4A6E"/>
          <w:sz w:val="22"/>
        </w:rPr>
        <w:t>Sir Stephen Timms</w:t>
      </w:r>
    </w:p>
    <w:p>
      <w:r>
        <w:rPr>
          <w:sz w:val="22"/>
        </w:rPr>
        <w:t>We are consulting on the support that will be needed over the next few years for perhaps one in 10 of those currently claiming PIP. Support will be needed for those who lose their benefit, and that will include family carers who receive carer’s allowance at the moment.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