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Counter-Terrorism and Border Security Act 2019 and the Terrorism Act 2000  (Port Examination Codes of Practice) Regulations 2025</w:t>
      </w:r>
    </w:p>
    <w:p>
      <w:r>
        <w:rPr>
          <w:sz w:val="20"/>
        </w:rPr>
        <w:t>17 September 2025  ·  Lords  ·  Committee Stage</w:t>
      </w:r>
    </w:p>
    <w:p>
      <w:r>
        <w:rPr>
          <w:b/>
        </w:rPr>
        <w:t xml:space="preserve">Policy areas: </w:t>
      </w:r>
      <w:r>
        <w:rPr>
          <w:sz w:val="20"/>
        </w:rPr>
        <w:t>Crime, justice and law, Government and public administration, Immigration and borders</w:t>
      </w:r>
    </w:p>
    <w:p>
      <w:r>
        <w:rPr>
          <w:b/>
        </w:rPr>
        <w:t xml:space="preserve">Topics: </w:t>
      </w:r>
      <w:r>
        <w:rPr>
          <w:sz w:val="20"/>
        </w:rPr>
        <w:t>border security, counter-terrorism powers, port examination codes, public consultation, terrorism legislation</w:t>
      </w:r>
    </w:p>
    <w:p>
      <w:r>
        <w:rPr>
          <w:b/>
        </w:rPr>
        <w:t xml:space="preserve">Source: </w:t>
      </w:r>
      <w:r>
        <w:rPr>
          <w:sz w:val="20"/>
        </w:rPr>
        <w:t>https://hansard.parliament.uk/Lords/2025-09-17/debates/9D791F62-B1F7-409F-B987-0805BF2FFF29/CounterterrorismAndBorderSecurityAct2019AndTheTerrorismAct2000PortExaminationCodesOfPracticeRegulations2025</w:t>
      </w:r>
    </w:p>
    <w:p/>
    <w:p>
      <w:r>
        <w:rPr>
          <w:b/>
          <w:color w:val="1A4A6E"/>
          <w:sz w:val="22"/>
        </w:rPr>
        <w:t>Lord Hanson of Flint</w:t>
      </w:r>
    </w:p>
    <w:p>
      <w:r>
        <w:rPr>
          <w:sz w:val="22"/>
        </w:rPr>
        <w:t>My Lords, this statutory instrument was laid before the House on 9 July. It brings forward revised codes of practice for the exercise of powers under Schedule 7 to the Terrorism Act 2000 and Schedule 3 to the Counter-Terrorism and Border Security Act 2019. I contend to the Committee that the powers are vital tools in our national security framework. They allow a counterterrorism police officer to stop, question, search and detain a person at a port, or in the “border area” of Northern Ireland, to determine whether the person is or has been involved in terrorism or hostile activity.</w:t>
      </w:r>
    </w:p>
    <w:p>
      <w:r>
        <w:rPr>
          <w:sz w:val="22"/>
        </w:rPr>
        <w:t>These changes follow a widespread public consultation held earlier this year, which ran from 17 March to 27 April 2025. The consultation invited a wide range of views from stakeholders including legal experts, civil liberties organisations, operational partners and, indeed, members of the public, who also contributed. It focused on proposed updates to the codes of practice to ensure that they remain clear, proportionate and fit for purpose. The Government’s response was published on 23 June this year and I will take this opportunity to express my gratitude to everyone who engaged with the consultation.</w:t>
      </w:r>
    </w:p>
    <w:p>
      <w:r>
        <w:rPr>
          <w:sz w:val="22"/>
        </w:rPr>
        <w:t>The feedback from the consultation helped us shape the final versions of the codes, which now provide greater clarity on how these powers are to be exercised, thereby strengthening safeguards for individuals subject to examination. I thank, in particular, the Independent Reviewer of Terrorism Legislation, Jonathan Hall KC, who, in expressing support for the proposed changes in discussions with the Home Office, was also a very strong advocate of this instrument. We are grateful to him for taking the time. I will briefly summarise the key changes the instrument makes.</w:t>
      </w:r>
    </w:p>
    <w:p>
      <w:r>
        <w:rPr>
          <w:sz w:val="22"/>
        </w:rPr>
        <w:t>Firstly, a minor element of how examining officers can use the powers in the border area of Northern Ireland will be clarified. The updated guidance makes it clear that officers can ask someone why they are in the border area, to help decide whether that person falls within the scope of the powers, before any formal examination begins. That is an important safeguard for an individual.</w:t>
      </w:r>
    </w:p>
    <w:p/>
    <w:p>
      <w:r>
        <w:rPr>
          <w:b/>
          <w:color w:val="1A4A6E"/>
          <w:sz w:val="22"/>
        </w:rPr>
        <w:t>The Minister of State, Home Office (Lab)</w:t>
      </w:r>
    </w:p>
    <w:p>
      <w:r>
        <w:rPr>
          <w:sz w:val="22"/>
        </w:rPr>
        <w:t>My Lords, I rise again on behalf of the Official Opposition to speak to these regulations and again offer broad support to the Government for them.</w:t>
      </w:r>
    </w:p>
    <w:p>
      <w:r>
        <w:rPr>
          <w:sz w:val="22"/>
        </w:rPr>
        <w:t>The powers allowing individuals to be stopped, questioned, searched and detained without suspicion are among the most intrusive the state can exercise. As a result, they must be governed by clarity, oversight and restraint. Several changes in the revised codes are sensible: clarification around notification, consular access and the distinguishing of counterterrorism from public order policing are all welcome. But clarity must not be mistaken for accountability.</w:t>
      </w:r>
    </w:p>
    <w:p>
      <w:r>
        <w:rPr>
          <w:sz w:val="22"/>
        </w:rPr>
        <w:t>We particularly welcome the firm statement that Schedule 7 should not be used for public order policing: a point developed by the Minister just now. However, the distinction between protest and terrorism remains finely drawn and places significant judgment in the hands of front-line officers, so can the Minister confirm how updated guidance is being communicated to those officers? Can we have an assurance that previous instances of disproportionate use will not recur?</w:t>
      </w:r>
    </w:p>
    <w:p>
      <w:r>
        <w:rPr>
          <w:sz w:val="22"/>
        </w:rPr>
        <w:t>On the consultation itself, I will raise one concern: only one formal written response was received. While engagement with front-line officers is useful, it is not a substitute for wider consultation with civil society, legal experts and those most affected. Does the Minister agree that more could and should have been done to seek broader perspectives during the consultation?</w:t>
      </w:r>
    </w:p>
    <w:p>
      <w:r>
        <w:rPr>
          <w:sz w:val="22"/>
        </w:rPr>
        <w:t>I will ask about Northern Ireland. The revision clarifies the use of preparatory powers near the border, yet this sits awkwardly with the Independent Reviewer’s recommendation that Schedule 7 powers be abolished in that context. Will the Minister outline the Government’s current view on the necessity and proportionality of Schedule 7 in Northern Ireland and whether any future appeal remains under consideration?</w:t>
      </w:r>
    </w:p>
    <w:p>
      <w:r>
        <w:rPr>
          <w:sz w:val="22"/>
        </w:rPr>
        <w:t>Finally, the IOPC proposed several changes to improve transparency and clarity, some of which have not been accepted. Can the Minister explain why not? Will the Government take forward the IOPC’s recommendation to monitor and analyse the use of these powers to help identify any patterns of disproportionate impact?</w:t>
      </w:r>
    </w:p>
    <w:p>
      <w:r>
        <w:rPr>
          <w:sz w:val="22"/>
        </w:rPr>
        <w:t>In conclusion, these revisions are largely clarificatory, but the powers themselves remain expansive and their use must be continuously scrutinised. We support improvements that enhance transparency but urge the Government to remain vigilant, to engage widely and to ensure that the powers are exercised proportionately.</w:t>
      </w:r>
    </w:p>
    <w:p/>
    <w:p>
      <w:r>
        <w:rPr>
          <w:b/>
          <w:color w:val="1A4A6E"/>
          <w:sz w:val="22"/>
        </w:rPr>
        <w:t>Lord Cameron of Lochiel</w:t>
      </w:r>
    </w:p>
    <w:p>
      <w:r>
        <w:rPr>
          <w:sz w:val="22"/>
        </w:rPr>
        <w:t>I am grateful to the noble Lord, Lord Cameron of Lochiel, for the broad support he has given to the instrument. He asked a number of legitimate questions that I will try my best to answer.</w:t>
      </w:r>
    </w:p>
    <w:p>
      <w:r>
        <w:rPr>
          <w:sz w:val="22"/>
        </w:rPr>
        <w:t>The guidance that we are issuing and the instrument that amends this guidance is essentially the bible of guidance for those who have to exercise those powers. The purpose of the order is to codify and give strength to the powers that individuals who are exercising those powers have to refer to. As well as something for officers and others to have as their code of practice and guidance, it is also essentially a bible for those who wish to say, “I haven’t been treated well by the officers because they have contravened areas of this code of practice”. Further guidance on the guidance would I think confuse matters. This is the guidance. I appreciate that question but, essentially, I hope that we can judge those who exercise those powers against the guidance and those who feel aggrieved by any exercise of that power can also refer to the guidance.</w:t>
      </w:r>
    </w:p>
    <w:p>
      <w:r>
        <w:rPr>
          <w:sz w:val="22"/>
        </w:rPr>
        <w:t>The noble Lord mentioned the consultation. It was a full consultation. It ran from 17 March to 27 April. We invited views from stakeholders, legal experts, civil liberty organisations and operational partners, and members of the public responded. There was a consultation. Maybe not everybody who wanted to be consulted has responded, but it is a tried and tested method and it was a reasonable consultation. As ever, there are opportunities to submit any further views to Ministers, the Independent Reviewer of Terrorism Legislation and other organisations that are dealing with the code of practice. I hope that the noble Lord will be reassured that the consultation teased out a number of views and, as I said in my introductory comments, some changes were made as a result of that consultation.</w:t>
      </w:r>
    </w:p>
    <w:p>
      <w:r>
        <w:rPr>
          <w:sz w:val="22"/>
        </w:rPr>
        <w:t>Again, I am very aware of the sensitivities regarding the border area in Northern Ireland and I am grateful to the noble Lord for raising them. The Government recognise those sensitivities. The code provides greater clarity on the preparatory powers available to officers and explicitly addresses concerns that were put down by the Independent Reviewer of Terrorism Legislation in his 2022 report. The reviewer is supportive of the changes. They ensure that the powers will be used only for national security purposes.</w:t>
      </w:r>
    </w:p>
    <w:p>
      <w:r>
        <w:rPr>
          <w:sz w:val="22"/>
        </w:rPr>
        <w:t>On Northern Ireland engagement and consultation, we had considerable discussions internally in government with the Northern Ireland Office and the Police Service of Northern Ireland, and both were content with the changes. In relation to the Northern Ireland Assembly, as these are non-devolved matters, there was an opportunity for it to contribute to the consultation and again, as far as I am concerned, the powers appear to have broad support in Northern Ireland—but obviously I am especially sensitive to the challenges on the border.</w:t>
      </w:r>
    </w:p>
    <w:p>
      <w:r>
        <w:rPr>
          <w:sz w:val="22"/>
        </w:rPr>
        <w:t>I hope that I have reassured the noble Lord on the three points that he mentioned and, with those brief comments, I commend the instrument to the Committee.</w:t>
      </w:r>
    </w:p>
    <w:p/>
    <w:p>
      <w:r>
        <w:rPr>
          <w:b/>
          <w:color w:val="1A4A6E"/>
          <w:sz w:val="22"/>
        </w:rPr>
        <w:t>Lord Hanson of Flint</w:t>
      </w:r>
    </w:p>
    <w:p>
      <w:r>
        <w:rPr>
          <w:sz w:val="22"/>
        </w:rPr>
        <w:t>My Lords, due to the present lack of the next Minister, the Grand Committee stands adjourned until such time as he comes.</w:t>
      </w:r>
    </w:p>
    <w:p/>
    <w:p>
      <w:r>
        <w:rPr>
          <w:b/>
          <w:color w:val="1A4A6E"/>
          <w:sz w:val="22"/>
        </w:rPr>
        <w:t>The Deputy Chairman of Committees (Con)</w:t>
      </w:r>
    </w:p>
    <w:p>
      <w:r>
        <w:rPr>
          <w:sz w:val="22"/>
        </w:rPr>
        <w:t>My Lords, due to the present lack of the next Minister, the Grand Committee stands adjourned until such time as he comes.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