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17 November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https://hansard.parliament.uk/Commons/2025-11-17/debates/A2128758-AE55-4D94-AD49-E8C981FBBD34/SpeakersStatement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Before we begin, I should inform the House that there is a fault with the Division Bells in the immediate vicinity of the Chamber—specifically, the officials’ corridor and the third party Whips’ area. I ask colleagues working in those areas to ensure that the annunciators are turned on while the problem with the bells is resolved.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