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Settlement: British National Overseas Route</w:t>
      </w:r>
    </w:p>
    <w:p>
      <w:r>
        <w:rPr>
          <w:sz w:val="20"/>
        </w:rPr>
        <w:t>17 November 2025  ·  Commons  ·  Oral Questions</w:t>
      </w:r>
    </w:p>
    <w:p>
      <w:r>
        <w:rPr>
          <w:b/>
        </w:rPr>
        <w:t xml:space="preserve">Policy areas: </w:t>
      </w:r>
      <w:r>
        <w:rPr>
          <w:sz w:val="20"/>
        </w:rPr>
        <w:t>Government and public administration, Immigration and borders, Welfare and benefits</w:t>
      </w:r>
    </w:p>
    <w:p>
      <w:r>
        <w:rPr>
          <w:b/>
        </w:rPr>
        <w:t xml:space="preserve">Topics: </w:t>
      </w:r>
      <w:r>
        <w:rPr>
          <w:sz w:val="20"/>
        </w:rPr>
        <w:t>bno route settlement, earned settlement scheme, illegal trading operations, migrant exploitation, net migration levels</w:t>
      </w:r>
    </w:p>
    <w:p>
      <w:r>
        <w:rPr>
          <w:b/>
        </w:rPr>
        <w:t xml:space="preserve">Source: </w:t>
      </w:r>
      <w:r>
        <w:rPr>
          <w:sz w:val="20"/>
        </w:rPr>
        <w:t>https://hansard.parliament.uk/Commons/2025-11-17/debates/DD25503B-C657-47B2-9919-522499FF7379/SettlementBritishNationalOverseasRoute</w:t>
      </w:r>
    </w:p>
    <w:p/>
    <w:p>
      <w:r>
        <w:rPr>
          <w:b/>
          <w:color w:val="1A4A6E"/>
          <w:sz w:val="22"/>
        </w:rPr>
        <w:t>Yuan Yang (Lab)</w:t>
      </w:r>
    </w:p>
    <w:p>
      <w:r>
        <w:rPr>
          <w:sz w:val="22"/>
        </w:rPr>
        <w:t>14. Whether she has made a recent assessment of the potential impact of exempting British national overseas visa holders from the proposed extension of the settlement qualifying period on levels of net migration.</w:t>
      </w:r>
    </w:p>
    <w:p/>
    <w:p>
      <w:r>
        <w:rPr>
          <w:b/>
          <w:color w:val="1A4A6E"/>
          <w:sz w:val="22"/>
        </w:rPr>
        <w:t>Mike Tapp (The Parliamentary Under-Secretary of State for the Home Department)</w:t>
      </w:r>
    </w:p>
    <w:p>
      <w:r>
        <w:rPr>
          <w:sz w:val="22"/>
        </w:rPr>
        <w:t>The Government remain steadfast in their support for Hongkongers in the UK, and remain fully committed to the British national overseas route. We will consult on the earned settlement scheme shortly, and everyone will be welcome to participate.</w:t>
      </w:r>
    </w:p>
    <w:p/>
    <w:p>
      <w:r>
        <w:rPr>
          <w:b/>
          <w:color w:val="1A4A6E"/>
          <w:sz w:val="22"/>
        </w:rPr>
        <w:t>Yuan Yang</w:t>
      </w:r>
    </w:p>
    <w:p>
      <w:r>
        <w:rPr>
          <w:sz w:val="22"/>
        </w:rPr>
        <w:t>Reading is proud to be a town of many immigrant diasporas, including Hong Kong BNOs who are seeking refuge here. Many of my immigrant constituents have lived in our community for years, and they work incredibly hard so that they can put down roots, much as my parents did when I was a child. Will the Minister acknowledge the contributions of immigrant families who enrich towns like mine, when making policy about settlement periods?</w:t>
      </w:r>
    </w:p>
    <w:p/>
    <w:p>
      <w:r>
        <w:rPr>
          <w:b/>
          <w:color w:val="1A4A6E"/>
          <w:sz w:val="22"/>
        </w:rPr>
        <w:t>Mike Tapp</w:t>
      </w:r>
    </w:p>
    <w:p>
      <w:r>
        <w:rPr>
          <w:sz w:val="22"/>
        </w:rPr>
        <w:t>Absolutely. Across the board we recognise the contribution from migrant communities, and specifically the Hong Kong community. We are listening to their views about the route to settlement, and will continue to do so.</w:t>
      </w:r>
    </w:p>
    <w:p/>
    <w:p>
      <w:r>
        <w:rPr>
          <w:b/>
          <w:color w:val="1A4A6E"/>
          <w:sz w:val="22"/>
        </w:rPr>
        <w:t>Gideon Amos (LD)</w:t>
      </w:r>
    </w:p>
    <w:p>
      <w:r>
        <w:rPr>
          <w:sz w:val="22"/>
        </w:rPr>
        <w:t>The case for legal migration and for those genuinely seeking asylum is undermined by evidence that businesses in Station Road in my constituency are using and exploiting migrants to carry out illegal trading. Local businesses are shocked and frustrated that when the police raid those premises, they remain open and continue trading. Will the Government consider bringing forward legislation to provide for the immediate closure of illegally trading shops?</w:t>
      </w:r>
    </w:p>
    <w:p/>
    <w:p>
      <w:r>
        <w:rPr>
          <w:b/>
          <w:color w:val="1A4A6E"/>
          <w:sz w:val="22"/>
        </w:rPr>
        <w:t>Mike Tapp</w:t>
      </w:r>
    </w:p>
    <w:p>
      <w:r>
        <w:rPr>
          <w:sz w:val="22"/>
        </w:rPr>
        <w:t>We take extremely this seriously in the Home Office, but it is out of control after the previous Government left us with a broken system. That is why in just over a year and a half we have increased arrests by 50% and visits by 64%—the highest in British history—and we will continue on that route.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