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Finance (No. 2) Bill</w:t>
      </w:r>
    </w:p>
    <w:p>
      <w:r>
        <w:rPr>
          <w:sz w:val="20"/>
        </w:rPr>
        <w:t>17 March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Economy, Finance and taxation</w:t>
      </w:r>
    </w:p>
    <w:p>
      <w:r>
        <w:rPr>
          <w:b/>
        </w:rPr>
        <w:t xml:space="preserve">Topics: </w:t>
      </w:r>
      <w:r>
        <w:rPr>
          <w:sz w:val="20"/>
        </w:rPr>
        <w:t>finance bill, legislative consent, second reading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https://hansard.parliament.uk/Lords/2026-03-17/debates/3B99D8DC-C71E-4417-AB70-701D88355277/FinanceNo2Bill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I beg to move.</w:t>
      </w:r>
    </w:p>
    <w:p/>
    <w:p>
      <w:r>
        <w:rPr>
          <w:b/>
          <w:color w:val="1A4A6E"/>
          <w:sz w:val="22"/>
        </w:rPr>
        <w:t>The Financial Secretary to the Treasury (Lab)</w:t>
      </w:r>
    </w:p>
    <w:p>
      <w:r>
        <w:rPr>
          <w:sz w:val="22"/>
        </w:rPr>
        <w:t>I beg to move.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