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Accountability for Daesh Crimes</w:t>
      </w:r>
    </w:p>
    <w:p>
      <w:r>
        <w:rPr>
          <w:sz w:val="20"/>
        </w:rPr>
        <w:t>17 July 2025  ·  Commons  ·  Proceedings</w:t>
      </w:r>
    </w:p>
    <w:p>
      <w:r>
        <w:rPr>
          <w:b/>
        </w:rPr>
        <w:t xml:space="preserve">Source: </w:t>
      </w:r>
      <w:r>
        <w:rPr>
          <w:sz w:val="20"/>
        </w:rPr>
        <w:t>https://hansard.parliament.uk/Commons/2025-07-17/debates/7DFA7E67-A0F7-45BB-9518-3823A12D45F8/AccountabilityForDaeshCrimes</w:t>
      </w:r>
    </w:p>
    <w:p/>
    <w:p>
      <w:r>
        <w:rPr>
          <w:b/>
          <w:color w:val="1A4A6E"/>
          <w:sz w:val="22"/>
        </w:rPr>
        <w:t>Madam Deputy Speaker</w:t>
      </w:r>
    </w:p>
    <w:p>
      <w:r>
        <w:rPr>
          <w:sz w:val="22"/>
        </w:rPr>
        <w:t>We now come to the second Select Committee statement, on behalf of the Joint Committee on Human Rights. Tom Gordon will speak for up to 10 minutes, during which time no interventions may be taken. At the conclusion of his statement, I will call Members to ask questions on the subject of the statement. These should be brief questions, not full speeches. I emphasise that questions should be directed to the Select Committee member, not to the relevant Government Minister. Front Benchers may also take part in questioning.</w:t>
      </w:r>
    </w:p>
    <w:p/>
    <w:p>
      <w:r>
        <w:rPr>
          <w:b/>
          <w:color w:val="1A4A6E"/>
          <w:sz w:val="22"/>
        </w:rPr>
        <w:t>Tom Gordon (LD)</w:t>
      </w:r>
    </w:p>
    <w:p>
      <w:r>
        <w:rPr>
          <w:sz w:val="22"/>
        </w:rPr>
        <w:t>I am grateful to the Government for engaging with the Joint Committee on Human Rights report, “Accountability for Daesh crimes”, and for the response they have provided. There are some areas of welcome agreement; for instance, the Government have reiterated their commitment to ensuring justice for survivors. They rightly agree that where there is evidence of international crimes such as genocide, individuals should be prosecuted for those crimes, not merely for terrorism offences that fail to capture the full horror and scale of what has taken place.</w:t>
      </w:r>
    </w:p>
    <w:p>
      <w:r>
        <w:rPr>
          <w:sz w:val="22"/>
        </w:rPr>
        <w:t>However, let me be clear: for all the Government’s assurances, we are still left with the sobering reality that not one single Daesh fighter has yet been prosecuted in the UK for genocide, crimes against humanity, or war crimes of any sort. The UK is a signatory to the genocide convention; we are one of its founding champions. We cannot continue to rely on theoretical commitment to it, while outsourcing accountability to other jurisdictions, or to international courts with limited reach and resources. The Government’s response repeatedly emphasises that prosecutions are best pursued</w:t>
      </w:r>
    </w:p>
    <w:p>
      <w:r>
        <w:rPr>
          <w:sz w:val="22"/>
        </w:rPr>
        <w:t>“close to where crimes occur”,</w:t>
      </w:r>
    </w:p>
    <w:p>
      <w:r>
        <w:rPr>
          <w:sz w:val="22"/>
        </w:rPr>
        <w:t>but where that is not happening—and in many cases it is not—the UK cannot, and must not, turn a blind eye. If a British national takes part in genocide abroad and returns to the UK, they should face justice here. There must be no safe haven for perpetrators of international crimes, especially not on UK soil.</w:t>
      </w:r>
    </w:p>
    <w:p>
      <w:r>
        <w:rPr>
          <w:sz w:val="22"/>
        </w:rPr>
        <w:t>Turning to universal jurisdiction, I am disappointed that the Government have rejected the recommendation to amend the International Criminal Court Act 2001 to remove the limitations based on nationality and residency. What is recommended is not a radical departure from established practice. This is about closing a clear loophole that allows perpetrators of genocide and other international crimes to escape justice simply because of where they are from. The UK exercises universal jurisdiction for torture, and for grave breaches of the Geneva conventions, so why not for genocide? This is not just a legal oversight; it is a failure of political will that continues to undermine survivors’ access to justice. The Government claim that sufficient co-ordination exists between the Crown Prosecution Service and the war crimes team, but despite the structures having been in place since 2019, we are yet to see any meaningful outcomes. Structures alone are not enough. Survivors want justice, not process. Co-ordination must be measured by results, and so far, the result is zero prosecutions for international crimes.</w:t>
      </w:r>
    </w:p>
    <w:p>
      <w:r>
        <w:rPr>
          <w:sz w:val="22"/>
        </w:rPr>
        <w:t>I am also deeply concerned by the Government’s stance on citizenship deprivation. The assertion that there is sufficient transparency does not hold up to scrutiny. The public deserve regular, accessible reporting, and Parliament deserves the ability to scrutinise use of this powerful and exceptional tool. Deprivation of citizenship should never be a substitute for due process, or a way of quietly absolving ourselves of responsibility for British nationals being involved in atrocity crimes overseas.</w:t>
      </w:r>
    </w:p>
    <w:p>
      <w:r>
        <w:rPr>
          <w:sz w:val="22"/>
        </w:rPr>
        <w:t>Finally, I come to British nationals, including children, detained in north-east Syria. We note the Government’s repeated statements about the practical challenges, and I acknowledge the complexity of the security environment, but the absence of precise public data, the slow pace of repatriation, and the ambiguity around the next steps on those detained and potential prosecutions remain deeply troubling. These children are British nationals. Some are orphaned, and others are at risk of radicalisation and violence. Leaving them in indefinite limbo in unsafe camps is a moral and strategic failure. The UK should lead with humanity, clarity and resolve.</w:t>
      </w:r>
    </w:p>
    <w:p>
      <w:r>
        <w:rPr>
          <w:sz w:val="22"/>
        </w:rPr>
        <w:t>If we are serious about upholding the rule of law; if we mean what we say about the genocide convention; and if we truly honour the memory and suffering of Yazidi survivors and other victims of Daesh crimes, we must go further than warm words and procedural reassurances. We need action, prosecutions and leadership. The Government have the opportunity to turn rhetoric into reality. I urge Ministers to reconsider the case for universal jurisdiction, for greater transparency, and for a clearer, more co-ordinated path to justice. That is our moral and legal obligation, and we owe nothing less to survivors.</w:t>
      </w:r>
    </w:p>
    <w:p>
      <w:r>
        <w:rPr>
          <w:sz w:val="22"/>
        </w:rPr>
        <w:t>Bill Presented</w:t>
      </w:r>
    </w:p>
    <w:p>
      <w:r>
        <w:rPr>
          <w:sz w:val="22"/>
        </w:rPr>
        <w:t>Planning and Development (Community Infrastructure) Bill</w:t>
      </w:r>
    </w:p>
    <w:p>
      <w:r>
        <w:rPr>
          <w:sz w:val="22"/>
        </w:rPr>
        <w:t>Presentation and First Reading (Standing Order No. 57)</w:t>
      </w:r>
    </w:p>
    <w:p>
      <w:r>
        <w:rPr>
          <w:sz w:val="22"/>
        </w:rPr>
        <w:t>Ben Maguire presented a Bill to require housing developers to construct any planned community infrastructure before commencing construction of housing with which the planned community infrastructure is associated; and for connected purposes.</w:t>
      </w:r>
    </w:p>
    <w:p>
      <w:r>
        <w:rPr>
          <w:sz w:val="22"/>
        </w:rPr>
        <w:t>Bill read the First time; to be read a Second time on Friday 12 September, and to be printed (Bill 290).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