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Coal Industry Social Welfare Organisation</w:t>
      </w:r>
    </w:p>
    <w:p>
      <w:r>
        <w:rPr>
          <w:sz w:val="20"/>
        </w:rPr>
        <w:t>16 October 2025  ·  Commons  ·  Oral Questions</w:t>
      </w:r>
    </w:p>
    <w:p>
      <w:r>
        <w:rPr>
          <w:b/>
        </w:rPr>
        <w:t xml:space="preserve">Policy areas: </w:t>
      </w:r>
      <w:r>
        <w:rPr>
          <w:sz w:val="20"/>
        </w:rPr>
        <w:t>Government and public administration, Society and culture, Welfare and benefits</w:t>
      </w:r>
    </w:p>
    <w:p>
      <w:r>
        <w:rPr>
          <w:b/>
        </w:rPr>
        <w:t xml:space="preserve">Topics: </w:t>
      </w:r>
      <w:r>
        <w:rPr>
          <w:sz w:val="20"/>
        </w:rPr>
        <w:t>charitable support, charity commission, ciswo trustees, coal mining communities, community engagement</w:t>
      </w:r>
    </w:p>
    <w:p>
      <w:r>
        <w:rPr>
          <w:b/>
        </w:rPr>
        <w:t xml:space="preserve">Source: </w:t>
      </w:r>
      <w:r>
        <w:rPr>
          <w:sz w:val="20"/>
        </w:rPr>
        <w:t>https://hansard.parliament.uk/Commons/2025-10-16/debates/BFEDBD33-405E-4A05-8854-53691246DCAE/CoalIndustrySocialWelfareOrganisation</w:t>
      </w:r>
    </w:p>
    <w:p/>
    <w:p>
      <w:r>
        <w:rPr>
          <w:b/>
          <w:color w:val="1A4A6E"/>
          <w:sz w:val="22"/>
        </w:rPr>
        <w:t>Ian Lavery (Lab)</w:t>
      </w:r>
    </w:p>
    <w:p>
      <w:r>
        <w:rPr>
          <w:sz w:val="22"/>
        </w:rPr>
        <w:t>6. If she will have discussions with the Coal Industry Social Welfare Organisation on its role in supporting coalmining communities.</w:t>
      </w:r>
    </w:p>
    <w:p/>
    <w:p>
      <w:r>
        <w:rPr>
          <w:b/>
          <w:color w:val="1A4A6E"/>
          <w:sz w:val="22"/>
        </w:rPr>
        <w:t>Stephanie Peacock (The Parliamentary Under-Secretary of State for Culture, Media and Sport)</w:t>
      </w:r>
    </w:p>
    <w:p>
      <w:r>
        <w:rPr>
          <w:sz w:val="22"/>
        </w:rPr>
        <w:t>I know from my own experience, from Members across the House and from my constituents, of the deep unhappiness with CISWO. As Charities Minister, I met representatives of the Charity Commission to discuss CISWO’s support for coal mining communities, and I know the commission is in contact with CISWO. I encourage the chief executive officer and trustees to reflect on how they deliver their charitable purposes in the light of the dissatisfaction expressed by hon. Members and local communities, and I strongly encourage CISWO to strengthen its engagement with the local coalfield communities that it was established to support.</w:t>
      </w:r>
    </w:p>
    <w:p/>
    <w:p>
      <w:r>
        <w:rPr>
          <w:b/>
          <w:color w:val="1A4A6E"/>
          <w:sz w:val="22"/>
        </w:rPr>
        <w:t>Ian Lavery</w:t>
      </w:r>
    </w:p>
    <w:p>
      <w:r>
        <w:rPr>
          <w:sz w:val="22"/>
        </w:rPr>
        <w:t>The Coal Industry Social Welfare Organisation dates back to the 1920s. Its main function then and its main function now is to support the mining communities, but sadly many mining MPs are witnessing exactly the opposite. The chief executive officer’s rigid enforcement of decades-old covenants and dogged intransigence is working against our mining communities. In my patch of Blyth and Ashington, the eviction of the Bedlington Terriers from a ground they have played on for more than 50 years is a prime example. The trustees believe themselves to be untouchable and have tret the coalfield MPs with the utmost contempt. Will the Minister agree to meet me and the chair of the coalfield group to discuss how together we can reverse the current mindset of the CISWO trustees and reflect the real needs of the people in our mining communities?</w:t>
      </w:r>
    </w:p>
    <w:p/>
    <w:p>
      <w:r>
        <w:rPr>
          <w:b/>
          <w:color w:val="1A4A6E"/>
          <w:sz w:val="22"/>
        </w:rPr>
        <w:t>Stephanie Peacock</w:t>
      </w:r>
    </w:p>
    <w:p>
      <w:r>
        <w:rPr>
          <w:sz w:val="22"/>
        </w:rPr>
        <w:t>I understand my hon. Friend’s grave concerns, which are reflected across our coalfield communities. I am deeply troubled to hear the example he shares with the House. Charities must stay true to their charitable purposes and act within the law and the terms of their governing document. Where they fail to do so, it is right that we have the Charity Commission as the independent regulator to investigate. I am happy to meet my hon. Friend to discuss his concerns in more detail. That invitation is open to any Member of the House, as it is clear to me that concerns regarding CISWO are sincerely held. I once again reiterate my encouragement for the CEO and trustees to reflect on how they deliver their charitable purposes for the coalfield communities they are meant to represent.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