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Strategic Litigation Against Public Participation Bill [HL]</w:t>
      </w:r>
    </w:p>
    <w:p>
      <w:r>
        <w:rPr>
          <w:sz w:val="20"/>
        </w:rPr>
        <w:t>16 June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anti-slapp measures, legal protections for free speech, strategic litigation against participation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https://hansard.parliament.uk/Lords/2026-06-16/debates/AA059C23-95DE-49BC-8DB7-715519ADE0AC/StrategicLitigationAgainstPublicParticipationBillHl</w:t>
      </w:r>
    </w:p>
    <w:p/>
    <w:p>
      <w:r>
        <w:rPr>
          <w:b/>
          <w:color w:val="1A4A6E"/>
          <w:sz w:val="22"/>
        </w:rPr>
        <w:t>Baroness Stowell of Beeston</w:t>
      </w:r>
    </w:p>
    <w:p>
      <w:r>
        <w:rPr>
          <w:sz w:val="22"/>
        </w:rPr>
        <w:t>My Lords, I declare that I have received support in preparing this Bill from the UK Anti-SLAPP Coalition, the Media Lawyers Association and the News Media Association.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