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Nuclear Installations (Compensation for Nuclear Damage) (Amendment) Regulations 2025</w:t>
      </w:r>
    </w:p>
    <w:p>
      <w:r>
        <w:rPr>
          <w:sz w:val="20"/>
        </w:rPr>
        <w:t>16 July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Energy, Finance and taxation</w:t>
      </w:r>
    </w:p>
    <w:p>
      <w:r>
        <w:rPr>
          <w:b/>
        </w:rPr>
        <w:t xml:space="preserve">Topics: </w:t>
      </w:r>
      <w:r>
        <w:rPr>
          <w:sz w:val="20"/>
        </w:rPr>
        <w:t>contracts for difference, nuclear damage regulations, nuclear installations compensation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https://hansard.parliament.uk/Lords/2025-07-16/debates/EA114486-F24C-4530-8688-69867769D446/NuclearInstallationsCompensationForNuclearDamageAmendmentRegulations2025</w:t>
      </w:r>
    </w:p>
    <w:p/>
    <w:p>
      <w:r>
        <w:rPr>
          <w:b/>
          <w:color w:val="1A4A6E"/>
          <w:sz w:val="22"/>
        </w:rPr>
        <w:t>Lord Wilson of Sedgefield</w:t>
      </w:r>
    </w:p>
    <w:p>
      <w:r>
        <w:rPr>
          <w:sz w:val="22"/>
        </w:rPr>
        <w:t>That the draft Regulations laid before the House on 19 May and 2 June be approved. Considered in Grand Committee on 14 July 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