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Nuclear Installations (Compensation for Nuclear Damage) (Amendment) Regulations 2025</w:t>
      </w:r>
    </w:p>
    <w:p>
      <w:r>
        <w:rPr>
          <w:sz w:val="20"/>
        </w:rPr>
        <w:t>16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Energy, Finance and taxation</w:t>
      </w:r>
    </w:p>
    <w:p>
      <w:r>
        <w:rPr>
          <w:b/>
        </w:rPr>
        <w:t xml:space="preserve">Topics: </w:t>
      </w:r>
      <w:r>
        <w:rPr>
          <w:sz w:val="20"/>
        </w:rPr>
        <w:t>contracts for difference, nuclear damage regulations, nuclear installations compensation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https://hansard.parliament.uk/Lords/2025-07-16/debates/EA114486-F24C-4530-8688-69867769D446/NuclearInstallationsCompensationForNuclearDamageAmendmentRegulations2025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19 May and 2 June be approved. Considered in Grand Committee on 14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