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House of Lords</w:t>
      </w:r>
    </w:p>
    <w:p>
      <w:r>
        <w:rPr>
          <w:sz w:val="20"/>
        </w:rPr>
        <w:t>16 December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abolish house of lords, democratic legitimacy, elected second chamber, scrutiny of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https://hansard.parliament.uk/Commons/2025-12-16/debates/71C276A0-2A8F-4E5E-8317-7C96A3B0B4D7/HouseOfLords</w:t>
      </w:r>
    </w:p>
    <w:p/>
    <w:p>
      <w:r>
        <w:rPr>
          <w:b/>
          <w:color w:val="1A4A6E"/>
          <w:sz w:val="22"/>
        </w:rPr>
        <w:t>Tom Gordon (LD)</w:t>
      </w:r>
    </w:p>
    <w:p>
      <w:r>
        <w:rPr>
          <w:sz w:val="22"/>
        </w:rPr>
        <w:t>Last week’s peerage list shows that the House of Lords is still used to reward loyalty, connections and convenience, all to the tune of £370 a day to the taxpayer. I am pleased to present this petition with the support of Liberal Democrat Councillor Graham Dixon.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residents of the United Kingdom,</w:t>
      </w:r>
    </w:p>
    <w:p>
      <w:r>
        <w:rPr>
          <w:sz w:val="22"/>
        </w:rPr>
        <w:t>Declares that the House of Lords, as an unelected second chamber, lacks the democratic legitimacy expected in a modern Parliament; and further declares that its continued reliance on appointments rather than elections undermines public confidence in the legislative process and weakens accountability within the UK’s democratic system.</w:t>
      </w:r>
    </w:p>
    <w:p>
      <w:r>
        <w:rPr>
          <w:sz w:val="22"/>
        </w:rPr>
        <w:t>The petitioners therefore request that the House of Commons urge the Government to bring forward proposals to abolish the House of Lords in its current form and replace it with a fully elected second chamber, founded on clear democratic principles, accountable to the people it serves, and equipped to scrutinise legislation with transparency and legitimacy.</w:t>
      </w:r>
    </w:p>
    <w:p>
      <w:r>
        <w:rPr>
          <w:sz w:val="22"/>
        </w:rPr>
        <w:t>And the petitioners remain, etc.</w:t>
      </w:r>
    </w:p>
    <w:p>
      <w:r>
        <w:rPr>
          <w:sz w:val="22"/>
        </w:rPr>
        <w:t>[P003151]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