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Heat Networks (Market Framework) (Great Britain) (Amendment) Regulations 2025</w:t>
      </w:r>
    </w:p>
    <w:p>
      <w:r>
        <w:rPr>
          <w:sz w:val="20"/>
        </w:rPr>
        <w:t>16 December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Energy, Environment</w:t>
      </w:r>
    </w:p>
    <w:p>
      <w:r>
        <w:rPr>
          <w:b/>
        </w:rPr>
        <w:t xml:space="preserve">Topics: </w:t>
      </w:r>
      <w:r>
        <w:rPr>
          <w:sz w:val="20"/>
        </w:rPr>
        <w:t>carbon storage regulations, heat networks framework, offshore petroleum disclosure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https://hansard.parliament.uk/Lords/2025-12-16/debates/B9E6F11A-4A8E-416A-BB9F-E44D95E71037/HeatNetworksMarketFrameworkGreatBritainAmendmentRegulations2025</w:t>
      </w:r>
    </w:p>
    <w:p/>
    <w:p>
      <w:r>
        <w:rPr>
          <w:b/>
          <w:color w:val="1A4A6E"/>
          <w:sz w:val="22"/>
        </w:rPr>
        <w:t>Lord Whitehead</w:t>
      </w:r>
    </w:p>
    <w:p>
      <w:r>
        <w:rPr>
          <w:sz w:val="22"/>
        </w:rPr>
        <w:t>That the draft Regulations laid before the House on 30 October and 24 November be approved. Considered in Grand Committee on 15 December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