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Building Safety Regulator (Establishment of New Body and Transfer of Functions etc.) Regulations 2026</w:t>
      </w:r>
    </w:p>
    <w:p>
      <w:r>
        <w:rPr>
          <w:sz w:val="20"/>
        </w:rPr>
        <w:t>16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Housing and planning</w:t>
      </w:r>
    </w:p>
    <w:p>
      <w:r>
        <w:rPr>
          <w:b/>
        </w:rPr>
        <w:t xml:space="preserve">Topics: </w:t>
      </w:r>
      <w:r>
        <w:rPr>
          <w:sz w:val="20"/>
        </w:rPr>
        <w:t>building safety regulator, draft regulations, new body establishment, statutory instrument approval, transfer of functions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https://hansard.parliament.uk/Lords/2025-12-16/debates/24E39AEC-9D81-4A2C-9281-163B4396BB61/BuildingSafetyRegulatorEstablishmentOfNewBodyAndTransferOfFunctionsEtcRegulations2026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11 November be approved. Relevant document: 44th Report from the Secondary Legislation Scrutiny Committee . Considered in Grand Committee on 15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