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Employment Savings Trust (Amendment) Order 2026</w:t>
      </w:r>
    </w:p>
    <w:p>
      <w:r>
        <w:rPr>
          <w:sz w:val="20"/>
        </w:rPr>
        <w:t>16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Employment and labour market, Finance and taxation, Welfare and benefits</w:t>
      </w:r>
    </w:p>
    <w:p>
      <w:r>
        <w:rPr>
          <w:b/>
        </w:rPr>
        <w:t xml:space="preserve">Topics: </w:t>
      </w:r>
      <w:r>
        <w:rPr>
          <w:sz w:val="20"/>
        </w:rPr>
        <w:t>automatic enrolment, nest scheme, pension contributions, pension reform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https://hansard.parliament.uk/Lords/2026-04-16/debates/DD306BB4-F862-442A-8B62-1B35E52F1E85/NationalEmploymentSavingsTrustAmendmentOrder2026</w:t>
      </w:r>
    </w:p>
    <w:p/>
    <w:p>
      <w:r>
        <w:rPr>
          <w:b/>
          <w:color w:val="1A4A6E"/>
          <w:sz w:val="22"/>
        </w:rPr>
        <w:t>Baroness Sherlock</w:t>
      </w:r>
    </w:p>
    <w:p>
      <w:r>
        <w:rPr>
          <w:sz w:val="22"/>
        </w:rPr>
        <w:t>That the draft Order laid before the House on 26 February be approved. Relevant document: 54th Report from the Secondary Legislation Scrutiny Committee. Considered in Grand Committee on 13 April.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