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Community Spaces</w:t>
      </w:r>
    </w:p>
    <w:p>
      <w:r>
        <w:rPr>
          <w:sz w:val="20"/>
        </w:rPr>
        <w:t>16 April 2026  ·  Commons  ·  Oral Questions</w:t>
      </w:r>
    </w:p>
    <w:p>
      <w:r>
        <w:rPr>
          <w:b/>
        </w:rPr>
        <w:t xml:space="preserve">Policy areas: </w:t>
      </w:r>
      <w:r>
        <w:rPr>
          <w:sz w:val="20"/>
        </w:rPr>
        <w:t>Government and public administration, Health and social care, Society and culture, Welfare and benefits</w:t>
      </w:r>
    </w:p>
    <w:p>
      <w:r>
        <w:rPr>
          <w:b/>
        </w:rPr>
        <w:t xml:space="preserve">Topics: </w:t>
      </w:r>
      <w:r>
        <w:rPr>
          <w:sz w:val="20"/>
        </w:rPr>
        <w:t>access to community spaces, charity funding challenges, dementia support services, social care provision, support for charities</w:t>
      </w:r>
    </w:p>
    <w:p>
      <w:r>
        <w:rPr>
          <w:b/>
        </w:rPr>
        <w:t xml:space="preserve">Source: </w:t>
      </w:r>
      <w:r>
        <w:rPr>
          <w:sz w:val="20"/>
        </w:rPr>
        <w:t>https://hansard.parliament.uk/Commons/2026-04-16/debates/0C5A70F8-F920-444F-ACB4-A4FE2CF05BC2/CommunitySpaces</w:t>
      </w:r>
    </w:p>
    <w:p/>
    <w:p>
      <w:r>
        <w:rPr>
          <w:b/>
          <w:color w:val="1A4A6E"/>
          <w:sz w:val="22"/>
        </w:rPr>
        <w:t>Danny Chambers (LD)</w:t>
      </w:r>
    </w:p>
    <w:p>
      <w:r>
        <w:rPr>
          <w:sz w:val="22"/>
        </w:rPr>
        <w:t>9. What assessment she has made of the adequacy of access to community spaces.</w:t>
      </w:r>
    </w:p>
    <w:p/>
    <w:p>
      <w:r>
        <w:rPr>
          <w:b/>
          <w:color w:val="1A4A6E"/>
          <w:sz w:val="22"/>
        </w:rPr>
        <w:t>Stephanie Peacock (The Parliamentary Under-Secretary of State for Culture, Media and Sport)</w:t>
      </w:r>
    </w:p>
    <w:p>
      <w:r>
        <w:rPr>
          <w:sz w:val="22"/>
        </w:rPr>
        <w:t>The Government recognise that community spaces are hugely important, whether it be for social networks, community participation or civic pride. We debated community centres and small charities in Westminster Hall last month.</w:t>
      </w:r>
    </w:p>
    <w:p/>
    <w:p>
      <w:r>
        <w:rPr>
          <w:b/>
          <w:color w:val="1A4A6E"/>
          <w:sz w:val="22"/>
        </w:rPr>
        <w:t>Chambers</w:t>
      </w:r>
    </w:p>
    <w:p>
      <w:r>
        <w:rPr>
          <w:sz w:val="22"/>
        </w:rPr>
        <w:t>The charity St John’s Winchester runs a brilliant community space for people with dementia; I have attended it myself and sung songs with them, including Motown. It is also one of the oldest charities in the UK and provides almshouses for vulnerable people. It has been running for 900 years and has survived the plague and the civil war, which was particularly ferocious in Winchester. It has specifically cited the increase in employment costs as a reason why it has had to deregister from the Care Quality Commission. What are the Government doing to support charities that provide social care and healthcare? We know that if these charities struggle, the costs will go on to councils and the NHS.</w:t>
      </w:r>
    </w:p>
    <w:p/>
    <w:p>
      <w:r>
        <w:rPr>
          <w:b/>
          <w:color w:val="1A4A6E"/>
          <w:sz w:val="22"/>
        </w:rPr>
        <w:t>Stephanie Peacock</w:t>
      </w:r>
    </w:p>
    <w:p>
      <w:r>
        <w:rPr>
          <w:sz w:val="22"/>
        </w:rPr>
        <w:t>I join the hon. Gentleman in paying tribute to his local charity—indeed, I am a patron of a dementia charity in Barnsley. I recognise the challenges faced by charities, which is why I hosted a number of them at No. 10 with a Treasury Minister. I would be delighted to speak to the hon. Gentleman about this matter.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