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Hazards in Social Housing (Prescribed Requirements) (England) Regulations 2025</w:t>
      </w:r>
    </w:p>
    <w:p>
      <w:r>
        <w:rPr>
          <w:sz w:val="20"/>
        </w:rPr>
        <w:t>15 September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administration, Housing and planning,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electrical safety regulations, prescribed requirements, social housing safety, statutory instrument approval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https://hansard.parliament.uk/Lords/2025-09-15/debates/C7E56B1C-8FE3-4AF5-BCBC-BBCD70CE78DB/HazardsInSocialHousingPrescribedRequirementsEnglandRegulations2025</w:t>
      </w:r>
    </w:p>
    <w:p/>
    <w:p>
      <w:r>
        <w:rPr>
          <w:b/>
          <w:color w:val="1A4A6E"/>
          <w:sz w:val="22"/>
        </w:rPr>
        <w:t>Baroness Taylor of Stevenage</w:t>
      </w:r>
    </w:p>
    <w:p>
      <w:r>
        <w:rPr>
          <w:sz w:val="22"/>
        </w:rPr>
        <w:t>That the draft Regulations laid before the House on 25 June be approved. Relevant document: 31st Report from the Secondary Legislation Scrutiny Committee. Considered in Grand Committee on 10 September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