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Free-Range Poultrymeat Marketing Standards (Amendment) (England) Regulations 2025</w:t>
      </w:r>
    </w:p>
    <w:p>
      <w:r>
        <w:rPr>
          <w:sz w:val="20"/>
        </w:rPr>
        <w:t>15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Trade</w:t>
      </w:r>
    </w:p>
    <w:p>
      <w:r>
        <w:rPr>
          <w:b/>
        </w:rPr>
        <w:t xml:space="preserve">Topics: </w:t>
      </w:r>
      <w:r>
        <w:rPr>
          <w:sz w:val="20"/>
        </w:rPr>
        <w:t>agricultural trade, animal welfare standards, food production regulations, free-range farming, poultrymeat marketing standards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https://hansard.parliament.uk/Lords/2025-09-15/debates/16820640-F559-4D4D-A1BB-3A8A618F9459/FreerangePoultrymeatMarketingStandardsAmendmentEnglandRegulations2025</w:t>
      </w:r>
    </w:p>
    <w:p/>
    <w:p>
      <w:r>
        <w:rPr>
          <w:b/>
          <w:color w:val="1A4A6E"/>
          <w:sz w:val="22"/>
        </w:rPr>
        <w:t>Baroness Hayman of Ullock</w:t>
      </w:r>
    </w:p>
    <w:p>
      <w:r>
        <w:rPr>
          <w:sz w:val="22"/>
        </w:rPr>
        <w:t>That the draft Regulations laid before the House on 1 July be approved. Considered in Grand Committee on 10 September.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