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Criminal Justice Act 2003 (Removal of Prisoners for Deportation) Order 2025</w:t>
      </w:r>
    </w:p>
    <w:p>
      <w:r>
        <w:rPr>
          <w:sz w:val="20"/>
        </w:rPr>
        <w:t>15 September 2025  ·  Lords  ·  Statutory Instrument</w:t>
      </w:r>
    </w:p>
    <w:p>
      <w:r>
        <w:rPr>
          <w:b/>
        </w:rPr>
        <w:t xml:space="preserve">Policy areas: </w:t>
      </w:r>
      <w:r>
        <w:rPr>
          <w:sz w:val="20"/>
        </w:rPr>
        <w:t>Crime, justice and law, Immigration and borders, Parliament and constitution</w:t>
      </w:r>
    </w:p>
    <w:p>
      <w:r>
        <w:rPr>
          <w:b/>
        </w:rPr>
        <w:t xml:space="preserve">Topics: </w:t>
      </w:r>
      <w:r>
        <w:rPr>
          <w:sz w:val="20"/>
        </w:rPr>
        <w:t>criminal justice act 2003, deportation orders, prisoner deportation, removal of prisoners, secondary legislation, sentencing act 2020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https://hansard.parliament.uk/Lords/2025-09-15/debates/BCDE0BF1-043A-40B4-BCCC-8FB3F676C099/CriminalJusticeAct2003RemovalOfPrisonersForDeportationOrder2025</w:t>
      </w:r>
    </w:p>
    <w:p/>
    <w:p>
      <w:r>
        <w:rPr>
          <w:b/>
          <w:color w:val="1A4A6E"/>
          <w:sz w:val="22"/>
        </w:rPr>
        <w:t>Lord Timpson</w:t>
      </w:r>
    </w:p>
    <w:p>
      <w:r>
        <w:rPr>
          <w:sz w:val="22"/>
        </w:rPr>
        <w:t>That the draft Order and Regulations laid before the House on 25 and 26 June be approved. Relevant document: 31st Report from the Secondary Legislation Scrutiny Committee (special attention drawn to the instrument). Considered in Grand Committee on 8 September.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