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Intertrade UK</w:t>
      </w:r>
    </w:p>
    <w:p>
      <w:r>
        <w:rPr>
          <w:sz w:val="20"/>
        </w:rPr>
        <w:t>15 October 2025  ·  Commons  ·  Oral Questions</w:t>
      </w:r>
    </w:p>
    <w:p>
      <w:r>
        <w:rPr>
          <w:b/>
        </w:rPr>
        <w:t xml:space="preserve">Policy areas: </w:t>
      </w:r>
      <w:r>
        <w:rPr>
          <w:sz w:val="20"/>
        </w:rPr>
        <w:t>Economy, Government and public administration, Trade</w:t>
      </w:r>
    </w:p>
    <w:p>
      <w:r>
        <w:rPr>
          <w:b/>
        </w:rPr>
        <w:t xml:space="preserve">Topics: </w:t>
      </w:r>
      <w:r>
        <w:rPr>
          <w:sz w:val="20"/>
        </w:rPr>
        <w:t>intertrade uk operations, northern ireland investment strategy, northern ireland trade barriers, uk internal market trade, windsor framework impact</w:t>
      </w:r>
    </w:p>
    <w:p>
      <w:r>
        <w:rPr>
          <w:b/>
        </w:rPr>
        <w:t xml:space="preserve">Source: </w:t>
      </w:r>
      <w:r>
        <w:rPr>
          <w:sz w:val="20"/>
        </w:rPr>
        <w:t>https://hansard.parliament.uk/Commons/2025-10-15/debates/D6881C98-ECD0-4F9F-9337-A3788DE3B920/IntertradeUk</w:t>
      </w:r>
    </w:p>
    <w:p/>
    <w:p>
      <w:r>
        <w:rPr>
          <w:b/>
          <w:color w:val="1A4A6E"/>
          <w:sz w:val="22"/>
        </w:rPr>
        <w:t>Alex Easton (Ind)</w:t>
      </w:r>
    </w:p>
    <w:p>
      <w:r>
        <w:rPr>
          <w:sz w:val="22"/>
        </w:rPr>
        <w:t>2. What steps he is taking to ensure that Intertrade UK operates independently and transparently.</w:t>
      </w:r>
    </w:p>
    <w:p/>
    <w:p>
      <w:r>
        <w:rPr>
          <w:b/>
          <w:color w:val="1A4A6E"/>
          <w:sz w:val="22"/>
        </w:rPr>
        <w:t>Hilary Benn (The Secretary of State for Northern Ireland)</w:t>
      </w:r>
    </w:p>
    <w:p>
      <w:r>
        <w:rPr>
          <w:sz w:val="22"/>
        </w:rPr>
        <w:t>As part of “Safeguarding the Union”, Intertrade UK was established to advise on and promote trade and investment across the UK. The terms of reference and work programme were published on gov.uk. The NIO provides secretariat support, but Intertrade UK is free to submit advice and recommendations to the Government as it sees fit.</w:t>
      </w:r>
    </w:p>
    <w:p/>
    <w:p>
      <w:r>
        <w:rPr>
          <w:b/>
          <w:color w:val="1A4A6E"/>
          <w:sz w:val="22"/>
        </w:rPr>
        <w:t>Alex Easton</w:t>
      </w:r>
    </w:p>
    <w:p>
      <w:r>
        <w:rPr>
          <w:sz w:val="22"/>
        </w:rPr>
        <w:t>What indicators is the Secretary of State using to measure growth in trade within the UK internal market? Will he commit to publicising an independent assessment of the barriers that the Northern Ireland protocol is having on trade within the UK and Northern Ireland, which I believe affects the ability of Intertrade UK to fully promote trade within the UK and operate independently?</w:t>
      </w:r>
    </w:p>
    <w:p/>
    <w:p>
      <w:r>
        <w:rPr>
          <w:b/>
          <w:color w:val="1A4A6E"/>
          <w:sz w:val="22"/>
        </w:rPr>
        <w:t>Hilary Benn</w:t>
      </w:r>
    </w:p>
    <w:p>
      <w:r>
        <w:rPr>
          <w:sz w:val="22"/>
        </w:rPr>
        <w:t>As the hon. Gentleman will be aware, a range of organisations, including Intertrade UK, are looking at the impact of the Windsor framework. We have recently had Lord Murphy’s report, for example, which the Government are committed to publishing. The House of Lords Northern Ireland Affairs Committee published a report on the same subject only this morning.</w:t>
      </w:r>
    </w:p>
    <w:p/>
    <w:p>
      <w:r>
        <w:rPr>
          <w:b/>
          <w:color w:val="1A4A6E"/>
          <w:sz w:val="22"/>
        </w:rPr>
        <w:t>Claire Hanna (SDLP)</w:t>
      </w:r>
    </w:p>
    <w:p>
      <w:r>
        <w:rPr>
          <w:sz w:val="22"/>
        </w:rPr>
        <w:t>Does the Secretary of State agree that one of the major deterrents to investment and growth in Northern Ireland is the absence, 20 months after the restoration of Stormont, of a published investment strategy from the Executive with any sort of a road map for investors or businesses on the infrastructure, roads and housing developments that the Executive will invest in? Does he agree that, in the absence of that strategy, we are flying blind in investment terms? Has he had any discussions with the Executive about that?</w:t>
      </w:r>
    </w:p>
    <w:p/>
    <w:p>
      <w:r>
        <w:rPr>
          <w:b/>
          <w:color w:val="1A4A6E"/>
          <w:sz w:val="22"/>
        </w:rPr>
        <w:t>Hilary Benn</w:t>
      </w:r>
    </w:p>
    <w:p>
      <w:r>
        <w:rPr>
          <w:sz w:val="22"/>
        </w:rPr>
        <w:t>Like my hon. Friend, I look forward to seeing the investment strategy published. Northern Ireland has a great opportunity under the Windsor framework because of the dual market access, which no other part of the United Kingdom has. For those looking to invest to trade with both the UK and the European Union, there is no better place to come and do that but Northern Ireland.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