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15 June 2026  ·  Commons  ·  Proceedings</w:t>
      </w:r>
    </w:p>
    <w:p>
      <w:r>
        <w:rPr>
          <w:b/>
        </w:rPr>
        <w:t xml:space="preserve">Source: </w:t>
      </w:r>
      <w:r>
        <w:rPr>
          <w:sz w:val="20"/>
        </w:rPr>
        <w:t>https://hansard.parliament.uk/Commons/2026-06-15/debates/53401831-8B2F-42FE-91F5-30A43A80BD83/SpeakersStatement</w:t>
      </w:r>
    </w:p>
    <w:p/>
    <w:p>
      <w:r>
        <w:rPr>
          <w:b/>
          <w:color w:val="1A4A6E"/>
          <w:sz w:val="22"/>
        </w:rPr>
        <w:t>Speaker</w:t>
      </w:r>
    </w:p>
    <w:p>
      <w:r>
        <w:rPr>
          <w:sz w:val="22"/>
        </w:rPr>
        <w:t>Before we begin, I would like to pay tribute to Lord Hattersley, who died yesterday. Roy was a giant of the Labour movement, holding the role of deputy leader as well as serving as a Minister. He was a long-serving and dedicated Member of both Houses, working alongside my father Doug. He represented Birmingham Sparkbrook as its MP for more than three decades before being appointed to the House of Lords, where he served for two decades. Roy devoted his life to politics, public duty and writing. I am sure the thoughts of the whole House are with his family and friends.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