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Royal Assent</w:t>
      </w:r>
    </w:p>
    <w:p>
      <w:r>
        <w:rPr>
          <w:sz w:val="20"/>
        </w:rPr>
        <w:t>15 July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https://hansard.parliament.uk/Commons/2026-07-15/debates/0D4F7910-1975-4D2D-9747-5464419CD302/RoyalAssent</w:t>
      </w:r>
    </w:p>
    <w:p/>
    <w:p>
      <w:r>
        <w:rPr>
          <w:b/>
          <w:color w:val="1A4A6E"/>
          <w:sz w:val="22"/>
        </w:rPr>
        <w:t>Madam Deputy Speaker</w:t>
      </w:r>
    </w:p>
    <w:p>
      <w:r>
        <w:rPr>
          <w:sz w:val="22"/>
        </w:rPr>
        <w:t>I have to notify the House, in accordance with the Royal Assent Act 1967, that His Majesty has signified his Royal Assent to the following Acts:</w:t>
      </w:r>
    </w:p>
    <w:p>
      <w:r>
        <w:rPr>
          <w:sz w:val="22"/>
        </w:rPr>
        <w:t>Supply and Appropriation (Main Estimates) Act 2026</w:t>
      </w:r>
    </w:p>
    <w:p>
      <w:r>
        <w:rPr>
          <w:sz w:val="22"/>
        </w:rPr>
        <w:t>Taxation (Energy and Vehicles) Act 2026</w:t>
      </w:r>
    </w:p>
    <w:p>
      <w:r>
        <w:rPr>
          <w:sz w:val="22"/>
        </w:rPr>
        <w:t>Steel Industry (Nationalisation) Act 2026</w:t>
      </w:r>
    </w:p>
    <w:p>
      <w:r>
        <w:rPr>
          <w:sz w:val="22"/>
        </w:rPr>
        <w:t>Cheltenham Borough Council (Markets) Act 2026.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