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15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https://hansard.parliament.uk/Commons/2026-07-15/debates/0D4F7910-1975-4D2D-9747-5464419CD302/RoyalAssent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have to notify the House, in accordance with the Royal Assent Act 1967, that His Majesty has signified his Royal Assent to the following Acts:</w:t>
      </w:r>
    </w:p>
    <w:p>
      <w:r>
        <w:rPr>
          <w:sz w:val="22"/>
        </w:rPr>
        <w:t>Supply and Appropriation (Main Estimates) Act 2026</w:t>
      </w:r>
    </w:p>
    <w:p>
      <w:r>
        <w:rPr>
          <w:sz w:val="22"/>
        </w:rPr>
        <w:t>Taxation (Energy and Vehicles) Act 2026</w:t>
      </w:r>
    </w:p>
    <w:p>
      <w:r>
        <w:rPr>
          <w:sz w:val="22"/>
        </w:rPr>
        <w:t>Steel Industry (Nationalisation) Act 2026</w:t>
      </w:r>
    </w:p>
    <w:p>
      <w:r>
        <w:rPr>
          <w:sz w:val="22"/>
        </w:rPr>
        <w:t>Cheltenham Borough Council (Markets) Act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