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Surrey County Council (Adult Education Functions) Regulations 2026</w:t>
      </w:r>
    </w:p>
    <w:p>
      <w:r>
        <w:rPr>
          <w:sz w:val="20"/>
        </w:rPr>
        <w:t>15 April 2026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Local government</w:t>
      </w:r>
    </w:p>
    <w:p>
      <w:r>
        <w:rPr>
          <w:b/>
        </w:rPr>
        <w:t xml:space="preserve">Topics: </w:t>
      </w:r>
      <w:r>
        <w:rPr>
          <w:sz w:val="20"/>
        </w:rPr>
        <w:t>adult education functions, secondary legislation scrutiny, surrey county council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https://hansard.parliament.uk/Lords/2026-04-15/debates/1568CE0C-E1AE-4F89-9EC8-1E97EE4C2EA6/SurreyCountyCouncilAdultEducationFunctionsRegulations2026</w:t>
      </w:r>
    </w:p>
    <w:p/>
    <w:p>
      <w:r>
        <w:rPr>
          <w:b/>
          <w:color w:val="1A4A6E"/>
          <w:sz w:val="22"/>
        </w:rPr>
        <w:t>Baroness Smith of Malvern</w:t>
      </w:r>
    </w:p>
    <w:p>
      <w:r>
        <w:rPr>
          <w:sz w:val="22"/>
        </w:rPr>
        <w:t>That the Grand Committee do consider the Surrey County Council (Adult Education Functions) Regulations 2026. Relevant document: 54th Report from the Secondary Legislation Scrutiny 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