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Death of a Member: Viscount Bridgeman</w:t>
      </w:r>
    </w:p>
    <w:p>
      <w:r>
        <w:rPr>
          <w:sz w:val="20"/>
        </w:rPr>
        <w:t>15 April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https://hansard.parliament.uk/Lords/2026-04-15/debates/7CE612F5-AFB7-4B47-950E-9A629FCD2D3A/DeathOfAMemberViscountBridgeman</w:t>
      </w:r>
    </w:p>
    <w:p/>
    <w:p>
      <w:r>
        <w:rPr>
          <w:b/>
          <w:color w:val="1A4A6E"/>
          <w:sz w:val="22"/>
        </w:rPr>
        <w:t>Lord Forsyth of Drumlean (The Lord Speaker)</w:t>
      </w:r>
    </w:p>
    <w:p>
      <w:r>
        <w:rPr>
          <w:sz w:val="22"/>
        </w:rPr>
        <w:t>My Lords, I regret to inform the House of the death of the noble Viscount, Lord Bridgeman, on Thursday 9 April. On behalf of the House, I extend our condolences to the noble Viscount’s family and friends.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