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Conservation of Habitats and Species (Offshore Wind) (Amendment etc.) Regulations 2026</w:t>
      </w:r>
    </w:p>
    <w:p>
      <w:r>
        <w:rPr>
          <w:sz w:val="20"/>
        </w:rPr>
        <w:t>15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Energy, Environment, Transport</w:t>
      </w:r>
    </w:p>
    <w:p>
      <w:r>
        <w:rPr>
          <w:b/>
        </w:rPr>
        <w:t xml:space="preserve">Topics: </w:t>
      </w:r>
      <w:r>
        <w:rPr>
          <w:sz w:val="20"/>
        </w:rPr>
        <w:t>habitat conservation, offshore wind regulations, secondary legislation, species protection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https://hansard.parliament.uk/Lords/2026-04-15/debates/7E7F49EE-B830-4921-A38B-BC0BCE180336/ConservationOfHabitatsAndSpeciesOffshoreWindAmendmentEtcRegulations2026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26 February be approved. Relevant document: 55th Report from the Secondary Legislation Scrutiny Committee (special attention drawn to the instrument). Considered in Grand Committee on 13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