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Capital Requirements Regulation (Market Risk Transitional Provision) Regulations 2026</w:t>
      </w:r>
    </w:p>
    <w:p>
      <w:r>
        <w:rPr>
          <w:sz w:val="20"/>
        </w:rPr>
        <w:t>15 April 2026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Economy, Finance and taxation</w:t>
      </w:r>
    </w:p>
    <w:p>
      <w:r>
        <w:rPr>
          <w:b/>
        </w:rPr>
        <w:t xml:space="preserve">Topics: </w:t>
      </w:r>
      <w:r>
        <w:rPr>
          <w:sz w:val="20"/>
        </w:rPr>
        <w:t>capital requirements regulation, market risk, transitional provision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https://hansard.parliament.uk/Lords/2026-04-15/debates/D1BD2BB6-FEF2-44CA-AAA6-E95D6CE0F454/CapitalRequirementsRegulationMarketRiskTransitionalProvisionRegulations2026</w:t>
      </w:r>
    </w:p>
    <w:p/>
    <w:p>
      <w:r>
        <w:rPr>
          <w:b/>
          <w:color w:val="1A4A6E"/>
          <w:sz w:val="22"/>
        </w:rPr>
        <w:t>Lord Livermore</w:t>
      </w:r>
    </w:p>
    <w:p>
      <w:r>
        <w:rPr>
          <w:sz w:val="22"/>
        </w:rPr>
        <w:t>That the Grand Committee do consider the Capital Requirements Regulation (Market Risk Transitional Provision) Regulations 2026.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