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Sovereign Grant Bill</w:t>
      </w:r>
    </w:p>
    <w:p>
      <w:r>
        <w:rPr>
          <w:sz w:val="20"/>
        </w:rPr>
        <w:t>14 September 2026  ·  Commons  ·  Debate</w:t>
      </w:r>
    </w:p>
    <w:p>
      <w:r>
        <w:rPr>
          <w:b/>
        </w:rPr>
        <w:t xml:space="preserve">Policy areas: </w:t>
      </w:r>
      <w:r>
        <w:rPr>
          <w:sz w:val="20"/>
        </w:rPr>
        <w:t>Finance and taxation, Government and public administration</w:t>
      </w:r>
    </w:p>
    <w:p>
      <w:r>
        <w:rPr>
          <w:b/>
        </w:rPr>
        <w:t xml:space="preserve">Topics: </w:t>
      </w:r>
      <w:r>
        <w:rPr>
          <w:sz w:val="20"/>
        </w:rPr>
        <w:t>buckingham palace reservicing, crown estate profits, royal trustees review, sovereign grant funding, value for money assessment</w:t>
      </w:r>
    </w:p>
    <w:p>
      <w:r>
        <w:rPr>
          <w:b/>
        </w:rPr>
        <w:t xml:space="preserve">Source: </w:t>
      </w:r>
      <w:r>
        <w:rPr>
          <w:sz w:val="20"/>
        </w:rPr>
        <w:t>https://hansard.parliament.uk/Commons/2026-09-14/debates/1F80304E-7BBF-429A-9E5A-1CB9F8AACA49/SovereignGrantBill</w:t>
      </w:r>
    </w:p>
    <w:p/>
    <w:p>
      <w:r>
        <w:rPr>
          <w:b/>
          <w:color w:val="1A4A6E"/>
          <w:sz w:val="22"/>
        </w:rPr>
        <w:t>Caroline Nokes (The Second Deputy Chairman of Ways and Means)</w:t>
      </w:r>
    </w:p>
    <w:p>
      <w:r>
        <w:rPr>
          <w:sz w:val="22"/>
        </w:rPr>
        <w:t>I remind Members that in Committee Members should not address the Chair as Deputy Speaker. Please use my name when addressing the Chair. Madam Chair, Chair and Madam Chairman are also acceptable.</w:t>
      </w:r>
    </w:p>
    <w:p>
      <w:r>
        <w:rPr>
          <w:sz w:val="22"/>
        </w:rPr>
        <w:t>Clause 1</w:t>
      </w:r>
    </w:p>
    <w:p>
      <w:r>
        <w:rPr>
          <w:sz w:val="22"/>
        </w:rPr>
        <w:t>Amount of Sovereign Grant for the financial year 2027-28</w:t>
      </w:r>
    </w:p>
    <w:p>
      <w:r>
        <w:rPr>
          <w:sz w:val="22"/>
        </w:rPr>
        <w:t>Question proposed, That the clause stand part of the Bill.</w:t>
      </w:r>
    </w:p>
    <w:p/>
    <w:p>
      <w:r>
        <w:rPr>
          <w:b/>
          <w:color w:val="1A4A6E"/>
          <w:sz w:val="22"/>
        </w:rPr>
        <w:t>The Second Deputy Chairman</w:t>
      </w:r>
    </w:p>
    <w:p>
      <w:r>
        <w:rPr>
          <w:sz w:val="22"/>
        </w:rPr>
        <w:t>With this it will be convenient to discuss the following:</w:t>
      </w:r>
    </w:p>
    <w:p>
      <w:r>
        <w:rPr>
          <w:sz w:val="22"/>
        </w:rPr>
        <w:t>Amendment 1, in clause 2, page 2, line 20, at end insert—</w:t>
      </w:r>
    </w:p>
    <w:p>
      <w:r>
        <w:rPr>
          <w:sz w:val="22"/>
        </w:rPr>
        <w:t>“(3) Section 6 of the Sovereign Grant Act 2011 is amended as follows.</w:t>
      </w:r>
    </w:p>
    <w:p>
      <w:r>
        <w:rPr>
          <w:sz w:val="22"/>
        </w:rPr>
        <w:t>(4) After subsection (4) insert—</w:t>
      </w:r>
    </w:p>
    <w:p>
      <w:r>
        <w:rPr>
          <w:sz w:val="22"/>
        </w:rPr>
        <w:t>“(5) The Royal Trustees may not make any proposals to increase the percentage specified in Step 1 (as amended by Section 2 of the Sovereign Grant Act 2026) for determining the amount of the Sovereign Grant, unless—</w:t>
      </w:r>
    </w:p>
    <w:p>
      <w:r>
        <w:rPr>
          <w:sz w:val="22"/>
        </w:rPr>
        <w:t>(a) they have commissioned the National Audit Office to undertake a value for money assessment of the proposed change, and</w:t>
      </w:r>
    </w:p>
    <w:p>
      <w:r>
        <w:rPr>
          <w:sz w:val="22"/>
        </w:rPr>
        <w:t>(b) the National Audit Office’s report has been laid before both Houses of Parliament, and</w:t>
      </w:r>
    </w:p>
    <w:p>
      <w:r>
        <w:rPr>
          <w:sz w:val="22"/>
        </w:rPr>
        <w:t>(c) a motion approving the change has been debated and approved by resolution of the House of Commons.””</w:t>
      </w:r>
    </w:p>
    <w:p>
      <w:r>
        <w:rPr>
          <w:sz w:val="22"/>
        </w:rPr>
        <w:t>This amendment would ensure that any future increase to the percentage of Crown Estate profit used to calculate the Sovereign Grant is subject to independent assessment and an affirmative vote in the House of Commons.</w:t>
      </w:r>
    </w:p>
    <w:p>
      <w:r>
        <w:rPr>
          <w:sz w:val="22"/>
        </w:rPr>
        <w:t>Clause 2 stand part.</w:t>
      </w:r>
    </w:p>
    <w:p>
      <w:r>
        <w:rPr>
          <w:sz w:val="22"/>
        </w:rPr>
        <w:t>Clauses 3 and 4 stand part.</w:t>
      </w:r>
    </w:p>
    <w:p/>
    <w:p>
      <w:r>
        <w:rPr>
          <w:b/>
          <w:color w:val="1A4A6E"/>
          <w:sz w:val="22"/>
        </w:rPr>
        <w:t>Dan Tomlinson (The Exchequer Secretary to the Treasury)</w:t>
      </w:r>
    </w:p>
    <w:p>
      <w:r>
        <w:rPr>
          <w:sz w:val="22"/>
        </w:rPr>
        <w:t>I will turn briefly to each of the short clauses in the Bill.</w:t>
      </w:r>
    </w:p>
    <w:p>
      <w:r>
        <w:rPr>
          <w:sz w:val="22"/>
        </w:rPr>
        <w:t>Clause 1 gives effect to the central purpose of the Bill. It sets the amount of the sovereign grant for the financial year 2027-28 at £99.9 million. In doing so, it resets the level of the grant following the completion of the Buckingham Palace reservicing programme. As that programme nears completion, the temporary funding associated with it is no longer required. Both the previous Government and this Government recognised that the level of the grant should therefore be reset and that legislation would be necessary to achieve that outcome. That is what clause 1 does: it establishes a grant of £99.9 million for 2027-28, reflecting the conclusions of the 2026 royal trustees review. The practical effect, therefore, is that funding falls from £137.9 million in this financial year to £99.9 million in 2027-28.</w:t>
      </w:r>
    </w:p>
    <w:p/>
    <w:p>
      <w:r>
        <w:rPr>
          <w:b/>
          <w:color w:val="1A4A6E"/>
          <w:sz w:val="22"/>
        </w:rPr>
        <w:t>Chris Vince (Lab/Co-op)</w:t>
      </w:r>
    </w:p>
    <w:p>
      <w:r>
        <w:rPr>
          <w:sz w:val="22"/>
        </w:rPr>
        <w:t>Thank you, Madam Chair. I desperately tried not to intervene at all, but I could not stop myself. I was on the Modernisation Committee when it had the opportunity to visit Buckingham Palace to see some of the regeneration work being done. Does the Minister feel as reassured as I do that the renovation work was done as efficiently and practically as possible, bringing in apprentices from elsewhere—I do not think any of them came from Harlow, unfortunately—to ensure it was successful?</w:t>
      </w:r>
    </w:p>
    <w:p/>
    <w:p>
      <w:r>
        <w:rPr>
          <w:b/>
          <w:color w:val="1A4A6E"/>
          <w:sz w:val="22"/>
        </w:rPr>
        <w:t>Dan Tomlinson</w:t>
      </w:r>
    </w:p>
    <w:p>
      <w:r>
        <w:rPr>
          <w:sz w:val="22"/>
        </w:rPr>
        <w:t>My hon. Friend is right to highlight that the works on Buckingham Palace over the past 10 years have been carried out with efficiency and effectiveness. In fact, the National Audit Office took a look at the programme of work and was able to commend it for its effective use of taxpayer money, which is of course very important. Clause 1 delivers, therefore, the intended reduction in funding following the completion of that work, and implements the conclusions of the royal trustees review to establish a new baseline for future years.</w:t>
      </w:r>
    </w:p>
    <w:p>
      <w:r>
        <w:rPr>
          <w:sz w:val="22"/>
        </w:rPr>
        <w:t>Having reset the grant for 2027-28, clause 2 turns to the framework that will determine grant funding in future years. The grant has, since 2012, been linked to the performance of the Crown Estate. That underlying principle remains unchanged by the Bill. Clause 2 updates the percentage of Crown Estate profits used within that calculation, so that the framework remains appropriate after the grant has been reset through that bottom-up calculation. It sets the relevant percentage at 20.5%. Returning to conversations we had on Second Reading, I want to reassure Members that that figure is not arbitrary. It comes directly from the conclusions of the June 2026 royal trustees review, which assessed both the royal household’s expected expenditure requirements and the Crown Estate’s forecast revenues over the period 2031-32.</w:t>
      </w:r>
    </w:p>
    <w:p>
      <w:r>
        <w:rPr>
          <w:sz w:val="22"/>
        </w:rPr>
        <w:t>Clause 3 introduces targeted safeguards to ensure that the funding framework can continue to operate effectively in exceptional circumstances. This is to ensure that where royal trustees conclude that the amount produced by the statutory formula would result in the sovereign grant reserve falling below 10% of annual expenditure or exceeding 50% of annual expenditure, and where the existing framework can adequately correct that outcome, the trustees must explain that conclusion in their annual report and identify the new amount they believe would be appropriate. The Treasury must then implement that through regulations.</w:t>
      </w:r>
    </w:p>
    <w:p>
      <w:r>
        <w:rPr>
          <w:sz w:val="22"/>
        </w:rPr>
        <w:t>This reform allows greater flexibility to prevent reserves becoming either too large or too small, and it means that action can be taken before reserve levels move outside of a sustainable range, rather than waiting until existing statutory mechanisms have been triggered.</w:t>
      </w:r>
    </w:p>
    <w:p>
      <w:r>
        <w:rPr>
          <w:sz w:val="22"/>
        </w:rPr>
        <w:t>The second mechanism is a limited power to increase the grant during a financial year in genuinely exceptional circumstances, and is intended as an emergency power. It can only be used when unforeseen circumstances arise during a financial year that cannot be reasonably addressed through the normal annual funding process. Clause 4 contains standard provisions relating to commencement and the short title of the Bill; I commend this and all other clauses to the Committee.</w:t>
      </w:r>
    </w:p>
    <w:p/>
    <w:p>
      <w:r>
        <w:rPr>
          <w:b/>
          <w:color w:val="1A4A6E"/>
          <w:sz w:val="22"/>
        </w:rPr>
        <w:t>Madam Deputy Speaker</w:t>
      </w:r>
    </w:p>
    <w:p>
      <w:r>
        <w:rPr>
          <w:sz w:val="22"/>
        </w:rPr>
        <w:t>I call the shadow Minister.</w:t>
      </w:r>
    </w:p>
    <w:p/>
    <w:p>
      <w:r>
        <w:rPr>
          <w:b/>
          <w:color w:val="1A4A6E"/>
          <w:sz w:val="22"/>
        </w:rPr>
        <w:t>Richard Fuller (Con)</w:t>
      </w:r>
    </w:p>
    <w:p>
      <w:r>
        <w:rPr>
          <w:sz w:val="22"/>
        </w:rPr>
        <w:t>I thank the Minister for his clear exposition of the Bill’s clauses. He emphasised the importance of the 2026 royal trustees’ review. The interesting thing is that it is their forecast of their needs over the next five years on which a lot of the mechanism rests. Notwithstanding some comments made by Government Back Benchers, a lot of the intention of the Bill is about financial restrictions on expenditure, rather than there being excess expenditure in the future. I am grateful for the Minister’s letter to my hon. Friend the Member for Dumfries and Galloway (John Cooper); in his summing up, will the Minister give a bit more comfort and clarity on some of those matters?</w:t>
      </w:r>
    </w:p>
    <w:p>
      <w:r>
        <w:rPr>
          <w:sz w:val="22"/>
        </w:rPr>
        <w:t>If I am right, the £99.9 million is the estimate of what is required this year, based on a review of what the forecast requirements may be through to 2031-32. Will the Minister explain how those financial assessments were made? What discount rate was used to work out what the estimates might be? I am not questioning it, and I do not need a precise figure; what I am looking for is some comfort from the Minister that he feels that those financial projections, that model and the work of the trustees give him adequate confidence in the baseline of £99.9 million. That leads, in turn, to why we have 20.5% variability over the next five years.</w:t>
      </w:r>
    </w:p>
    <w:p>
      <w:r>
        <w:rPr>
          <w:sz w:val="22"/>
        </w:rPr>
        <w:t>In the Minister’s response to my hon. Friend the Member for Dumfries and Galloway, I was also interested to hear about the use of other income. In his letter, the Minister said:</w:t>
      </w:r>
    </w:p>
    <w:p>
      <w:r>
        <w:rPr>
          <w:sz w:val="22"/>
        </w:rPr>
        <w:t>“The Household forecasts that this income will increase by around 25% over the review period, based on recent performance, detailed modelling and increased visitor capacity… If income were lower than forecast, there is no expectation that the Grant would increase above £99.9 million per year.”</w:t>
      </w:r>
    </w:p>
    <w:p>
      <w:r>
        <w:rPr>
          <w:sz w:val="22"/>
        </w:rPr>
        <w:t>Can the Minister confirm that, essentially, the other income is being treated as supplementary to what we see as the duty of the sovereign grant? I would be grateful to the Minister for reconfirming what he put in his letter.</w:t>
      </w:r>
    </w:p>
    <w:p>
      <w:r>
        <w:rPr>
          <w:sz w:val="22"/>
        </w:rPr>
        <w:t>In clause 3, I am interested in proposed new section 6(5) to the Sovereign Grant Act 2011, stating that the reserve fund will be:</w:t>
      </w:r>
    </w:p>
    <w:p>
      <w:r>
        <w:rPr>
          <w:sz w:val="22"/>
        </w:rPr>
        <w:t>“no lower than 10% and no higher than 50%”.</w:t>
      </w:r>
    </w:p>
    <w:p>
      <w:r>
        <w:rPr>
          <w:sz w:val="22"/>
        </w:rPr>
        <w:t>What is of interest there is the duty to change the amount of the sovereign grant. There is an issue about to what extent that reserve, at 10% to 50%, is going to cover reasonable expectations of expense. That gets to the point that my hon. Friend the Member for Dumfries and Galloway made earlier about long-term plans. If significant capital expenditures are due, then the reserve, by its very nature, will be quite variable during the period. I would like some comfort from the Minister that the range of 10% to 50%—which sounds, on face value, to be reasonable—was correct in the modelling.</w:t>
      </w:r>
    </w:p>
    <w:p>
      <w:r>
        <w:rPr>
          <w:sz w:val="22"/>
        </w:rPr>
        <w:t>There is just one slight concern about the Treasury’s thinking on this. When my hon. Friend the Member for North West Norfolk (James Wild) asked about powers to adjust the grant between reviews and the circumstances in which they might be used, the answer from the Treasury was:</w:t>
      </w:r>
    </w:p>
    <w:p>
      <w:r>
        <w:rPr>
          <w:sz w:val="22"/>
        </w:rPr>
        <w:t>“These powers are intended for exceptional circumstances and are not expected to be used routinely”,</w:t>
      </w:r>
    </w:p>
    <w:p>
      <w:r>
        <w:rPr>
          <w:sz w:val="22"/>
        </w:rPr>
        <w:t>which, of course, is the definition of exceptional. However, the letter does then go on to talk about major fire, flood and so on, saying that in those circumstances,</w:t>
      </w:r>
    </w:p>
    <w:p>
      <w:r>
        <w:rPr>
          <w:sz w:val="22"/>
        </w:rPr>
        <w:t>“Any adjustment would require Parliamentary approval through secondary legislation.”</w:t>
      </w:r>
    </w:p>
    <w:p>
      <w:r>
        <w:rPr>
          <w:sz w:val="22"/>
        </w:rPr>
        <w:t>Could the Minister advise on whether or not that approval will be subject to the affirmative procedure? I think that other Members may want to raise that as well.</w:t>
      </w:r>
    </w:p>
    <w:p/>
    <w:p>
      <w:r>
        <w:rPr>
          <w:b/>
          <w:color w:val="1A4A6E"/>
          <w:sz w:val="22"/>
        </w:rPr>
        <w:t>Caroline Nokes (The Second Deputy Chairman of Ways and Means)</w:t>
      </w:r>
    </w:p>
    <w:p>
      <w:r>
        <w:rPr>
          <w:sz w:val="22"/>
        </w:rPr>
        <w:t>I call the Liberal Democrat spokesperson.</w:t>
      </w:r>
    </w:p>
    <w:p/>
    <w:p>
      <w:r>
        <w:rPr>
          <w:b/>
          <w:color w:val="1A4A6E"/>
          <w:sz w:val="22"/>
        </w:rPr>
        <w:t>Bobby Dean (LD)</w:t>
      </w:r>
    </w:p>
    <w:p>
      <w:r>
        <w:rPr>
          <w:sz w:val="22"/>
        </w:rPr>
        <w:t>The Liberal Democrats support the thrust of the Bill. We understand why the royal household budget has increased and agree that it is right for the grant to be reset now that the Buckingham Palace programme has finished. However, we remain concerned about transparency and have put forward an amendment to that effect.</w:t>
      </w:r>
    </w:p>
    <w:p>
      <w:r>
        <w:rPr>
          <w:sz w:val="22"/>
        </w:rPr>
        <w:t>Our amendment would insert a new subsection that would stop the royal trustees proposing any future increase to the percentage of Crown Estate profit used in the grant formula unless three conditions are met first. The National Audit Office must be commissioned to carry out a value-for-money assessment of the proposed change; that NAO report must be laid before both Houses; and finally, the House of Commons must debate and approve the change by resolution.</w:t>
      </w:r>
    </w:p>
    <w:p>
      <w:r>
        <w:rPr>
          <w:sz w:val="22"/>
        </w:rPr>
        <w:t>This contrasts with the Bill as drafted, which sets the figures straight into primary legislation on the strength of the royal trustees’ own conclusions, with no separate independent check built in for the next time that the percentage is revisited. That matters because it is the royal trustees who produce that report—the Prime Minister, the Chancellor and the Keeper of the Privy Purse. In other words, the people proposing the change are marking their own homework, with no independent body or vote required to test whether it represents good value for the taxpayer.</w:t>
      </w:r>
    </w:p>
    <w:p>
      <w:r>
        <w:rPr>
          <w:sz w:val="22"/>
        </w:rPr>
        <w:t>Our amendment is not about opposing the grant or blocking today’s readjustment, which the Liberal Democrats accept is right now that the reservicing works are complete. Instead, it is about ensuring that if a percentage increase is proposed again in the future, taxpayers get an independent, NAO-assessed value-for-money check, with their elected representatives getting an actual vote on it, rather than the change simply following through the trustees’ own formula.</w:t>
      </w:r>
    </w:p>
    <w:p>
      <w:r>
        <w:rPr>
          <w:sz w:val="22"/>
        </w:rPr>
        <w:t>To conclude, the Liberal Democrats believe that greater transparency and independent scrutiny of taxpayer money must be built into the system for the future, not treated as optional, and that that is best guaranteed by external checks, not simply taking the Government’s word for it.</w:t>
      </w:r>
    </w:p>
    <w:p/>
    <w:p>
      <w:r>
        <w:rPr>
          <w:b/>
          <w:color w:val="1A4A6E"/>
          <w:sz w:val="22"/>
        </w:rPr>
        <w:t>Dan Tomlinson</w:t>
      </w:r>
    </w:p>
    <w:p>
      <w:r>
        <w:rPr>
          <w:sz w:val="22"/>
        </w:rPr>
        <w:t>I thank the Opposition spokespeople for their questions and comments.</w:t>
      </w:r>
    </w:p>
    <w:p>
      <w:r>
        <w:rPr>
          <w:sz w:val="22"/>
        </w:rPr>
        <w:t>Turning first to the questions from the spokesperson for the official Opposition, the OBR forecasts for inflation, interest rates and so on were used as the underlying basis for the projections. To the extent that Members across the House support the OBR and its independent forecasting duties, I hope that they would support the royal household using those forecasts.</w:t>
      </w:r>
    </w:p>
    <w:p>
      <w:r>
        <w:rPr>
          <w:sz w:val="22"/>
        </w:rPr>
        <w:t>On the hon. Gentleman’s point about the reserve, the household previously aimed to maintain reserves of at least 5% of annual expenditure. This legislation formalises a slightly higher reserve at 10% as the floor, with 50% being the ceiling. It is our judgment that that is reasonable. Of course, 50% is a significant reserve.</w:t>
      </w:r>
    </w:p>
    <w:p>
      <w:r>
        <w:rPr>
          <w:sz w:val="22"/>
        </w:rPr>
        <w:t>The hon. Gentleman asked what happens to the reserve. Of course, it can be drawn down on in times when the royal household faces significant in-year financial costs. The first reaction of the Treasury and the royal trustees would not be to come to the House to ask for a vote to increase the expenditure in the case of additional in-year costs. Instead, it would be hoped that capital programmes could be smoothed out over time, and that the flexibility allowed by the reserve could be drawn on.</w:t>
      </w:r>
    </w:p>
    <w:p>
      <w:r>
        <w:rPr>
          <w:sz w:val="22"/>
        </w:rPr>
        <w:t>The hon. Gentleman asked specifically whether the secondary legislation in the event of changes would be subject to the affirmative or negative procedure in the House. I can confirm that if the percentage were to go up, it would be subject to the affirmative procedure, and we would therefore have the option to debate and discuss. If the percentage were to go down, my understanding is that it would be subject to the negative procedure.</w:t>
      </w:r>
    </w:p>
    <w:p>
      <w:r>
        <w:rPr>
          <w:sz w:val="22"/>
        </w:rPr>
        <w:t>I am grateful to the Liberal Democrat spokesperson for raising the important issues of transparency, accountability and value for money. However, it is the Government’s view that the Liberal Democrat amendment is not necessary under the existing framework. Any future proposal to increase the percentage used to calculate the sovereign grant would already require a published report from the trustees setting out the rationale and, as I have just said, would require the approval of the Commons through the statutory instrument being subject to the affirmative procedure, so Members of the House would have the opportunity to analyse and debate any proposed change.</w:t>
      </w:r>
    </w:p>
    <w:p>
      <w:r>
        <w:rPr>
          <w:sz w:val="22"/>
        </w:rPr>
        <w:t>The National Audit Office already plays an important role in scrutinising the sovereign grant. It audits the grant annually and can undertake value-for-money examinations where it considers that such work would assist Parliament. Indeed, it exercised these powers, as we have discussed, in relation to the Buckingham Palace reservicing programme.</w:t>
      </w:r>
    </w:p>
    <w:p>
      <w:r>
        <w:rPr>
          <w:sz w:val="22"/>
        </w:rPr>
        <w:t>The Liberal Democrat amendment would also create a unique test that is not applied to other bodies funded by the public sector. It is the Government’s view that the sovereign grant is already subject to robust arrangements for accountability and scrutiny, including the managing public money principles, accounting officer oversight, National Audit Office audit and parliamentary approval for legislative changes.</w:t>
      </w:r>
    </w:p>
    <w:p>
      <w:r>
        <w:rPr>
          <w:sz w:val="22"/>
        </w:rPr>
        <w:t>Question put and agreed to.</w:t>
      </w:r>
    </w:p>
    <w:p>
      <w:r>
        <w:rPr>
          <w:sz w:val="22"/>
        </w:rPr>
        <w:t>Clause 1 accordingly ordered to stand part of the Bill.</w:t>
      </w:r>
    </w:p>
    <w:p>
      <w:r>
        <w:rPr>
          <w:sz w:val="22"/>
        </w:rPr>
        <w:t>Clauses 2 to 4 ordered to stand part of the Bill.</w:t>
      </w:r>
    </w:p>
    <w:p>
      <w:r>
        <w:rPr>
          <w:sz w:val="22"/>
        </w:rPr>
        <w:t>The Deputy Speaker resumed the Chair.</w:t>
      </w:r>
    </w:p>
    <w:p>
      <w:r>
        <w:rPr>
          <w:sz w:val="22"/>
        </w:rPr>
        <w:t>Bill reported, without amendment.</w:t>
      </w:r>
    </w:p>
    <w:p>
      <w:r>
        <w:rPr>
          <w:sz w:val="22"/>
        </w:rPr>
        <w:t>Bill, not amended in the Committee, considered.</w:t>
      </w:r>
    </w:p>
    <w:p>
      <w:r>
        <w:rPr>
          <w:sz w:val="22"/>
        </w:rPr>
        <w:t>Third Reading</w:t>
      </w:r>
    </w:p>
    <w:p/>
    <w:p>
      <w:r>
        <w:rPr>
          <w:b/>
          <w:color w:val="1A4A6E"/>
          <w:sz w:val="22"/>
        </w:rPr>
        <w:t>Dan Tomlinson</w:t>
      </w:r>
    </w:p>
    <w:p>
      <w:r>
        <w:rPr>
          <w:sz w:val="22"/>
        </w:rPr>
        <w:t>I beg to move, That the Bill be now read the Third time.</w:t>
      </w:r>
    </w:p>
    <w:p>
      <w:r>
        <w:rPr>
          <w:sz w:val="22"/>
        </w:rPr>
        <w:t>I thank hon. Members across the House for their contributions today as the Bill has progressed. I believe that we have done it justice, interrogating various points of contention and clarification on Second Reading and in Committee. I commend this Bill to the House.</w:t>
      </w:r>
    </w:p>
    <w:p/>
    <w:p>
      <w:r>
        <w:rPr>
          <w:b/>
          <w:color w:val="1A4A6E"/>
          <w:sz w:val="22"/>
        </w:rPr>
        <w:t>Richard Fuller</w:t>
      </w:r>
    </w:p>
    <w:p>
      <w:r>
        <w:rPr>
          <w:sz w:val="22"/>
        </w:rPr>
        <w:t>I thank the Minister for presenting the Bill, but most importantly I thank His Majesty the King for his gracious service, on behalf of all Members of this House and all people of this country and the territories and nations overseas. I hope that he will use the sovereign grant as wisely and sagaciously as his governance over us allows. I support the Bill.</w:t>
      </w:r>
    </w:p>
    <w:p/>
    <w:p>
      <w:r>
        <w:rPr>
          <w:b/>
          <w:color w:val="1A4A6E"/>
          <w:sz w:val="22"/>
        </w:rPr>
        <w:t>Bobby Dean</w:t>
      </w:r>
    </w:p>
    <w:p>
      <w:r>
        <w:rPr>
          <w:sz w:val="22"/>
        </w:rPr>
        <w:t>I thank the Minister for his comments on the Liberal Democrat amendment that was discussed earlier, and we recognise the arguments that he made in response. I support the Bill.</w:t>
      </w:r>
    </w:p>
    <w:p>
      <w:r>
        <w:rPr>
          <w:sz w:val="22"/>
        </w:rPr>
        <w:t>Question put and agreed to.</w:t>
      </w:r>
    </w:p>
    <w:p>
      <w:r>
        <w:rPr>
          <w:sz w:val="22"/>
        </w:rPr>
        <w:t>Bill accordingly read the Third time and passed.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