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Rehabilitation of Offenders Act 1974 (Exceptions) (Amendment) (England and Wales) Order 2025</w:t>
      </w:r>
    </w:p>
    <w:p>
      <w:r>
        <w:rPr>
          <w:sz w:val="20"/>
        </w:rPr>
        <w:t>14 January 2026  ·  Lords  ·  Committee Stage</w:t>
      </w:r>
    </w:p>
    <w:p>
      <w:r>
        <w:rPr>
          <w:b/>
        </w:rPr>
        <w:t xml:space="preserve">Policy areas: </w:t>
      </w:r>
      <w:r>
        <w:rPr>
          <w:sz w:val="20"/>
        </w:rPr>
        <w:t>Children and families, Crime, justice and law, Employment and labour market</w:t>
      </w:r>
    </w:p>
    <w:p>
      <w:r>
        <w:rPr>
          <w:b/>
        </w:rPr>
        <w:t xml:space="preserve">Topics: </w:t>
      </w:r>
      <w:r>
        <w:rPr>
          <w:sz w:val="20"/>
        </w:rPr>
        <w:t>child safeguarding, enhanced dbs checks, offender employment, rehabilitation of offenders, spent convictions disclosure</w:t>
      </w:r>
    </w:p>
    <w:p>
      <w:r>
        <w:rPr>
          <w:b/>
        </w:rPr>
        <w:t xml:space="preserve">Source: </w:t>
      </w:r>
      <w:r>
        <w:rPr>
          <w:sz w:val="20"/>
        </w:rPr>
        <w:t>https://hansard.parliament.uk/Lords/2026-01-14/debates/C715B4D9-F6ED-47EB-98CE-3842F77564CC/RehabilitationOfOffendersAct1974ExceptionsAmendmentEnglandAndWalesOrder2025</w:t>
      </w:r>
    </w:p>
    <w:p/>
    <w:p>
      <w:r>
        <w:rPr>
          <w:b/>
          <w:color w:val="1A4A6E"/>
          <w:sz w:val="22"/>
        </w:rPr>
        <w:t>Lord Timpson</w:t>
      </w:r>
    </w:p>
    <w:p>
      <w:r>
        <w:rPr>
          <w:sz w:val="22"/>
        </w:rPr>
        <w:t>My Lords, as many noble Lords will be aware, I am passionate about the rehabilitation of offenders. I have seen at first hand how transformative employment can be for those seeking to rebuild their lives after offending.</w:t>
      </w:r>
    </w:p>
    <w:p>
      <w:r>
        <w:rPr>
          <w:sz w:val="22"/>
        </w:rPr>
        <w:t>The Rehabilitation of Offenders Act 1974, which I will refer to as the ROA, governs the disclosure of cautions and convictions for most employment purposes. Its purpose is simple but vital: to ensure that, once a conviction is spent, individuals are not defined for ever by their past. For most people, once a conviction or caution becomes spent, it does not need to be disclosed when applying for work. This supports rehabilitation, helps to reduce reoffending and allows people to move on with their lives. However, this must always be balanced against the need to protect the public. That is why the ROA is accompanied by the exceptions order 1975, which sets out specific roles and activities where fuller disclosure is required. This is typically work involving vulnerable people, such as children, or a high degree of public trust. This instrument amends the exceptions order in a targeted and proportionate way.</w:t>
      </w:r>
    </w:p>
    <w:p>
      <w:r>
        <w:rPr>
          <w:sz w:val="22"/>
        </w:rPr>
        <w:t>Before I turn to the detail, I want to make something clear: even when an employer is aware of a spent conviction or caution, that should not amount to an automatic bar to employment. The Government encourage employers to take a balanced and thoughtful approach, considering factors such as the age of the individual at the time of the offence, how long ago it occurred, its relevance to the role and what safeguards can be put in place. In my own business experience, I have employed many people with criminal records. Time and again, they have proved to be among the most loyal, committed and capable colleagues. That experience has shaped my belief that disclosure rules must be fair and proportionate. They must give employers the information that they need to manage risk responsibly while still giving people the chance to rebuild their lives. We know that finding employment after release can reduce reoffending by up to nine percentage points, which is why we are strengthening links between prisons, probation and employers through employment advisory boards and the new regional employment councils.</w:t>
      </w:r>
    </w:p>
    <w:p>
      <w:r>
        <w:rPr>
          <w:sz w:val="22"/>
        </w:rPr>
        <w:t>In developing these proposals, officials have looked at evidence around gaps in the current framework and have considered the findings of the Independent Inquiry into Child Sexual Abuse. This instrument addresses those gaps and does so carefully. The instrument makes four amendments to the exceptions order. First, it extends access to enhanced DBS checks to self-employed individuals or personal employees working closely with children and vulnerable adults. Secondly, it brings within scope staff employed by the MoJ’s contracted provider of electronic monitoring and field services. Thirdly, it includes registered healthcare professionals employed or engaged by the Secretary of State for Work and Pensions or by their contractors and subcontractors. Finally, it enables appropriate disclosure checks for pedicab drivers in London, bringing them into line with taxi and private hire vehicle licensing following the Pedicabs (London) Act 2024. In each case, the amendment allows spent convictions to be considered as part of an informed and proportionate decision-making process, when assessing suitability for the role or licence in question. Relevant departments have committed to producing or updating guidance to support fair and consistent decision-making.</w:t>
      </w:r>
    </w:p>
    <w:p>
      <w:r>
        <w:rPr>
          <w:sz w:val="22"/>
        </w:rPr>
        <w:t>There is a compelling case for these changes. The first amendment closes a clear safeguarding gap. Families increasingly hire tutors, carers and therapists directly, often in unsupervised settings, yet without this change those individuals can only be asked for a basic criminal record check. Extending access to enhanced checks, including barred lists where appropriate, gives families the same reassurance that they would have if services were provided through an organisation such as a school. It also delivers on a key recommendation of the Alexis Jay inquiry.</w:t>
      </w:r>
    </w:p>
    <w:p>
      <w:r>
        <w:rPr>
          <w:sz w:val="22"/>
        </w:rPr>
        <w:t>The second amendment relates to electronic monitoring staff. These individuals play a crucial role in maintaining the integrity of court orders and release conditions. They have access to sensitive systems and exercise significant discretion. By enabling standard rather than basic disclosure checks, providers can better identify and manage risks and protect public confidence in the justice system.</w:t>
      </w:r>
    </w:p>
    <w:p>
      <w:r>
        <w:rPr>
          <w:sz w:val="22"/>
        </w:rPr>
        <w:t>Thirdly, the amendment covering registered healthcare professionals working for the DWP or its contractors reflects the vulnerability of the people they support. Around 2 million health assessments are carried out each year for individuals with long-term conditions or disabilities. Enabling fuller disclosure ensures that suitability for these roles can be properly assessed and appropriate safeguards maintained.</w:t>
      </w:r>
    </w:p>
    <w:p>
      <w:r>
        <w:rPr>
          <w:sz w:val="22"/>
        </w:rPr>
        <w:t>Finally, on pedicabs in London, following years of operating without regulation, TfL is now introducing a licensing regime. For that regime to command public confidence, pedicab drivers must be subject to the same safeguarding standards as taxi and private hire drivers. Without this amendment, TfL would be limited to basic checks, which is simply not sufficient, given the nature of the work.</w:t>
      </w:r>
    </w:p>
    <w:p>
      <w:r>
        <w:rPr>
          <w:sz w:val="22"/>
        </w:rPr>
        <w:t>This instrument strikes a careful and necessary balance. It strengthens safeguarding where it is needed, closes identified gaps and maintains the central principle of the ROA. The people who have moved on from their offending deserve the chance to rebuild their lives. I beg to move.</w:t>
      </w:r>
    </w:p>
    <w:p/>
    <w:p>
      <w:r>
        <w:rPr>
          <w:b/>
          <w:color w:val="1A4A6E"/>
          <w:sz w:val="22"/>
        </w:rPr>
        <w:t>The Minister of State, Ministry of Justice (Lab)</w:t>
      </w:r>
    </w:p>
    <w:p>
      <w:r>
        <w:rPr>
          <w:sz w:val="22"/>
        </w:rPr>
        <w:t>My Lords, I am grateful to the Minister for his clear exposition of this matter. From these Benches, we are supportive of the order before us. The Rehabilitation of Offenders Act has, for more than 50 years, played an important role in supporting rehabilitation and enabling people who have offended to move on with their lives. That principle commands strong support, but it has always been recognised that rehabilitation cannot be an absolute and that there are particular roles, especially those involving children, vulnerable adults or positions of trust, where fuller disclosure is both reasonable and necessary to protect the public.</w:t>
      </w:r>
    </w:p>
    <w:p>
      <w:r>
        <w:rPr>
          <w:sz w:val="22"/>
        </w:rPr>
        <w:t>This order is modest in scope and targeted in nature. It does not represent a wholesale expansion of disclosure but rather responds to specific and well-evidenced gaps in the current framework. In particular, extending eligibility for enhanced DBS checks to self-employed individuals and those employed directly by families who work with children is a sensible and overdue step. The Independent Inquiry into Child Sexual Abuse commissioned under a Conservative Government made it clear that safeguarding should not depend on the technicality of whether someone is employed through an organisation or directly by a parent. Families deserve the same level of assurance in either case.</w:t>
      </w:r>
    </w:p>
    <w:p>
      <w:r>
        <w:rPr>
          <w:sz w:val="22"/>
        </w:rPr>
        <w:t>Similarly, we recognise the logic of bringing electronic monitoring contractor roles within the exception order. These are sensitive positions with real risks of corruption and serious consequences if safeguards fail. Ensuring that employers can properly assess suitability is essential for maintaining confidence in the criminal justice system. The inclusion of registered healthcare professionals carrying out DWP assessments is also proportionate. These individuals occupy positions of trust and have access to sensitive personal data. It is reasonable that the department is able to take a full view of suitability when making appointments to such roles.</w:t>
      </w:r>
    </w:p>
    <w:p>
      <w:r>
        <w:rPr>
          <w:sz w:val="22"/>
        </w:rPr>
        <w:t>Finally, aligning the DBS regime for pedicab drivers in London with that already in place for taxis and private hire vehicles is both logical and, indeed, necessary. Regulation without proper disclosure would expose Transport for London to unnecessary operational and reputational risk and would be out of step with public expectations.</w:t>
      </w:r>
    </w:p>
    <w:p>
      <w:r>
        <w:rPr>
          <w:sz w:val="22"/>
        </w:rPr>
        <w:t>However, as my honourable friend Kieran Mullan noted in the other place, support for these changes comes with a note of caution. The system for obtaining enhanced DBS checks is already under strain, with delays in some police force areas. As eligibility is expanded, it is incumbent on the Government to ensure that the system can cope and that safeguarding improvements are not undermined by avoidable backlogs.</w:t>
      </w:r>
    </w:p>
    <w:p>
      <w:r>
        <w:rPr>
          <w:sz w:val="22"/>
        </w:rPr>
        <w:t>Taken together, these measures strike the right balance between rehabilitation and public protection. They are proportionate, targeted and consistent with existing safeguarding frameworks.</w:t>
      </w:r>
    </w:p>
    <w:p/>
    <w:p>
      <w:r>
        <w:rPr>
          <w:b/>
          <w:color w:val="1A4A6E"/>
          <w:sz w:val="22"/>
        </w:rPr>
        <w:t>Lord Keen of Elie</w:t>
      </w:r>
    </w:p>
    <w:p>
      <w:r>
        <w:rPr>
          <w:sz w:val="22"/>
        </w:rPr>
        <w:t>My Lords, I am grateful to the noble and learned Lord, Lord Keen, for his contribution. I hope that noble Lords will agree that this instrument is necessary and proportionate. The amendments before the Committee address clear and specific safeguarding gaps, covering individuals working closely with children and vulnerable adults, electronic monitoring staff, healthcare professionals supporting vulnerable claimants and pedicab drivers in London. They strengthen public protection in high-trust roles, while remaining true to the purpose of the ROA, supporting rehabilitation and enabling people to move on. The noble and learned Lord, Lord Keen, mentioned Kieran Mullan’s comments in the other place. I have been assured that the DBS system can cope with this volume coming through. I commend the instrument to the Committee.</w:t>
      </w:r>
    </w:p>
    <w:p/>
    <w:p>
      <w:r>
        <w:rPr>
          <w:b/>
          <w:color w:val="1A4A6E"/>
          <w:sz w:val="22"/>
        </w:rPr>
        <w:t>Lord Timpson</w:t>
      </w:r>
    </w:p>
    <w:p>
      <w:r>
        <w:rPr>
          <w:sz w:val="22"/>
        </w:rPr>
        <w:t>My Lords, I am grateful to the noble and learned Lord, Lord Keen, for his contribution. I hope that noble Lords will agree that this instrument is necessary and proportionate. The amendments before the Committee address clear and specific safeguarding gaps, covering individuals working closely with children and vulnerable adults, electronic monitoring staff, healthcare professionals supporting vulnerable claimants and pedicab drivers in London. They strengthen public protection in high-trust roles, while remaining true to the purpose of the ROA, supporting rehabilitation and enabling people to move on. The noble and learned Lord, Lord Keen, mentioned Kieran Mullan’s comments in the other place. I have been assured that the DBS system can cope with this volume coming through. I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