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Commission</w:t>
      </w:r>
    </w:p>
    <w:p>
      <w:r>
        <w:rPr>
          <w:sz w:val="20"/>
        </w:rPr>
        <w:t>14 April 2026  ·  Lords  ·  Proceedings</w:t>
      </w:r>
    </w:p>
    <w:p>
      <w:r>
        <w:rPr>
          <w:b/>
        </w:rPr>
        <w:t xml:space="preserve">Source: </w:t>
      </w:r>
      <w:r>
        <w:rPr>
          <w:sz w:val="20"/>
        </w:rPr>
        <w:t>https://hansard.parliament.uk/Lords/2026-04-14/debates/A0BA8003-661C-48E8-AA21-088F8E33259B/HouseOfLordsCommission</w:t>
      </w:r>
    </w:p>
    <w:p/>
    <w:p>
      <w:r>
        <w:rPr>
          <w:b/>
          <w:color w:val="1A4A6E"/>
          <w:sz w:val="22"/>
        </w:rPr>
        <w:t>The Senior Deputy Speaker</w:t>
      </w:r>
    </w:p>
    <w:p>
      <w:r>
        <w:rPr>
          <w:sz w:val="22"/>
        </w:rPr>
        <w:t>My Lords, following Royal Assent of the House of Lords (Hereditary Peers) Bill, the remaining excepted hereditary Peers will leave the House at the end of the current Session. The report before the House today proposes that these hereditary Peers should be granted the same access rights as Members who retire under the House of Lords Reform Act 2014.</w:t>
      </w:r>
    </w:p>
    <w:p/>
    <w:p>
      <w:r>
        <w:rPr>
          <w:b/>
          <w:color w:val="1A4A6E"/>
          <w:sz w:val="22"/>
        </w:rPr>
        <w:t>Lord Gardiner of Kimble (The Senior Deputy Speaker)</w:t>
      </w:r>
    </w:p>
    <w:p>
      <w:r>
        <w:rPr>
          <w:sz w:val="22"/>
        </w:rPr>
        <w:t>My Lords, following Royal Assent of the House of Lords (Hereditary Peers) Bill, the remaining excepted hereditary Peers will leave the House at the end of the current Session. The report before the House today proposes that these hereditary Peers should be granted the same access rights as Members who retire under the House of Lords Reform Act 2014.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