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Death of a Member: Lord Campbell of Pittenweem</w:t>
      </w:r>
    </w:p>
    <w:p>
      <w:r>
        <w:rPr>
          <w:sz w:val="20"/>
        </w:rPr>
        <w:t>13 October 2025  ·  Lords  ·  Proceedings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https://hansard.parliament.uk/Lords/2025-10-13/debates/10ED3D62-3A56-471C-9DED-3D93F22EF0A3/DeathOfAMemberLordCampbellOfPittenweem</w:t>
      </w:r>
    </w:p>
    <w:p/>
    <w:p>
      <w:r>
        <w:rPr>
          <w:b/>
          <w:color w:val="1A4A6E"/>
          <w:sz w:val="22"/>
        </w:rPr>
        <w:t>Lord McFall of Alcluith (The Lord Speaker)</w:t>
      </w:r>
    </w:p>
    <w:p>
      <w:r>
        <w:rPr>
          <w:sz w:val="22"/>
        </w:rPr>
        <w:t>My Lords, I regret to inform the House of the death of the noble Lord, Lord Campbell of Pittenweem, on 26 September. On behalf of the House, I extend our condolences to the noble Lord’s family and friends.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