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Infrastructure Planning (Onshore Wind and Solar Generation) Order 2025</w:t>
      </w:r>
    </w:p>
    <w:p>
      <w:r>
        <w:rPr>
          <w:sz w:val="20"/>
        </w:rPr>
        <w:t>13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Energy, Environment, Government and public administration, Housing and planning</w:t>
      </w:r>
    </w:p>
    <w:p>
      <w:r>
        <w:rPr>
          <w:b/>
        </w:rPr>
        <w:t xml:space="preserve">Topics: </w:t>
      </w:r>
      <w:r>
        <w:rPr>
          <w:sz w:val="20"/>
        </w:rPr>
        <w:t>infrastructure planning, infrastructure planning order, onshore wind generation, secondary legislation scrutiny, solar generation planning, solar generation projects,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https://hansard.parliament.uk/Lords/2025-05-13/debates/08442D61-C6BF-4876-A0B9-B8BC907C4B04/InfrastructurePlanningOnshoreWindAndSolarGenerationOrder2025</w:t>
      </w:r>
    </w:p>
    <w:p/>
    <w:p>
      <w:r>
        <w:rPr>
          <w:b/>
          <w:color w:val="1A4A6E"/>
          <w:sz w:val="22"/>
        </w:rPr>
        <w:t>Lord Hunt of Kings Heath</w:t>
      </w:r>
    </w:p>
    <w:p>
      <w:r>
        <w:rPr>
          <w:sz w:val="22"/>
        </w:rPr>
        <w:t>That the draft Order laid before the House on 10 March be approved. Relevant document: 20th Report from the Secondary Legislation Scrutiny Committee. Considered in Grand Committee on 6 May.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