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Leave of Absence</w:t>
      </w:r>
    </w:p>
    <w:p>
      <w:r>
        <w:rPr>
          <w:sz w:val="20"/>
        </w:rPr>
        <w:t>13 January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https://hansard.parliament.uk/Lords/2026-01-13/debates/90C4E504-56A3-4C14-9629-5EE7B798E4B0/LeaveOfAbsence</w:t>
      </w:r>
    </w:p>
    <w:p/>
    <w:p>
      <w:r>
        <w:rPr>
          <w:b/>
          <w:color w:val="1A4A6E"/>
          <w:sz w:val="22"/>
        </w:rPr>
        <w:t>Lord McFall of Alcluith (The Lord Speaker)</w:t>
      </w:r>
    </w:p>
    <w:p>
      <w:r>
        <w:rPr>
          <w:sz w:val="22"/>
        </w:rPr>
        <w:t>My Lords, I am due to travel to the Conference of Speakers and Presiding Officers of the Commonwealth in New Delhi. Accordingly, I seek leave of absence from your Lordships’ House from tomorrow until I return next Monday 19 January.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