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Clerk Assistant</w:t>
      </w:r>
    </w:p>
    <w:p>
      <w:r>
        <w:rPr>
          <w:sz w:val="20"/>
        </w:rPr>
        <w:t>13 April 2026  ·  Lords  ·  Proceedings</w:t>
      </w:r>
    </w:p>
    <w:p>
      <w:r>
        <w:rPr>
          <w:b/>
        </w:rPr>
        <w:t xml:space="preserve">Source: </w:t>
      </w:r>
      <w:r>
        <w:rPr>
          <w:sz w:val="20"/>
        </w:rPr>
        <w:t>https://hansard.parliament.uk/Lords/2026-04-13/debates/4400230A-6D06-4525-924B-A5E6509D3010/ClerkAssistant</w:t>
      </w:r>
    </w:p>
    <w:p/>
    <w:p>
      <w:r>
        <w:rPr>
          <w:b/>
          <w:color w:val="1A4A6E"/>
          <w:sz w:val="22"/>
        </w:rPr>
        <w:t>The Lord Speaker</w:t>
      </w:r>
    </w:p>
    <w:p>
      <w:r>
        <w:rPr>
          <w:sz w:val="22"/>
        </w:rPr>
        <w:t>That this House do approve the appointment by the Lord Speaker, pursuant to the Clerk of the Parliaments Act 1824, of Duncan James Sagar to be Clerk Assistant of the House in place of Chloe Kilcoyne Mawson appointed Clerk of the Parliaments.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