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Schools (Recording and Reporting of Seclusion and Restraint) (No. 2)  (England) Regulations 2025</w:t>
      </w:r>
    </w:p>
    <w:p>
      <w:r>
        <w:rPr>
          <w:sz w:val="20"/>
        </w:rPr>
        <w:t>12 March 2026  ·  Lords  ·  Statutory Instrument</w:t>
      </w:r>
    </w:p>
    <w:p>
      <w:r>
        <w:rPr>
          <w:b/>
        </w:rPr>
        <w:t xml:space="preserve">Policy areas: </w:t>
      </w:r>
      <w:r>
        <w:rPr>
          <w:sz w:val="20"/>
        </w:rPr>
        <w:t>Children and families, Education, training and skills, Government and public administration</w:t>
      </w:r>
    </w:p>
    <w:p>
      <w:r>
        <w:rPr>
          <w:b/>
        </w:rPr>
        <w:t xml:space="preserve">Topics: </w:t>
      </w:r>
      <w:r>
        <w:rPr>
          <w:sz w:val="20"/>
        </w:rPr>
        <w:t>impact assessment costs, recording and reporting procedures, school restraint reporting, school seclusion recording, seclusion and restraint in schools, secondary legislation scrutiny</w:t>
      </w:r>
    </w:p>
    <w:p>
      <w:r>
        <w:rPr>
          <w:b/>
        </w:rPr>
        <w:t xml:space="preserve">Source: </w:t>
      </w:r>
      <w:r>
        <w:rPr>
          <w:sz w:val="20"/>
        </w:rPr>
        <w:t>https://hansard.parliament.uk/Lords/2026-03-12/debates/6080EC2B-194A-47F2-8FA1-0A2937EE099C/SchoolsRecordingAndReportingOfSeclusionAndRestraintNo2EnglandRegulations2025</w:t>
      </w:r>
    </w:p>
    <w:p/>
    <w:p>
      <w:r>
        <w:rPr>
          <w:b/>
          <w:color w:val="1A4A6E"/>
          <w:sz w:val="22"/>
        </w:rPr>
        <w:t>Lord Lucas</w:t>
      </w:r>
    </w:p>
    <w:p>
      <w:r>
        <w:rPr>
          <w:sz w:val="22"/>
        </w:rPr>
        <w:t>That this House regrets that the Schools (Recording and Reporting of Seclusion and Restraint) (No. 2) (England) Regulations 2025 are accompanied by an impact assessment that underestimates the cost of implementation; and that they do not enable the best use of the information which will be recorded by schools. Relevant document: 48th Report from the Secondary Legislation Scrutiny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